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ff0000"/>
        </w:rPr>
      </w:pPr>
      <w:r w:rsidDel="00000000" w:rsidR="00000000" w:rsidRPr="00000000">
        <w:rPr>
          <w:color w:val="ff0000"/>
          <w:rtl w:val="0"/>
        </w:rPr>
        <w:t xml:space="preserve">[Your address] </w:t>
      </w:r>
    </w:p>
    <w:p w:rsidR="00000000" w:rsidDel="00000000" w:rsidP="00000000" w:rsidRDefault="00000000" w:rsidRPr="00000000" w14:paraId="00000002">
      <w:pPr>
        <w:rPr>
          <w:color w:val="ff0000"/>
        </w:rPr>
      </w:pPr>
      <w:r w:rsidDel="00000000" w:rsidR="00000000" w:rsidRPr="00000000">
        <w:rPr>
          <w:color w:val="ff0000"/>
          <w:rtl w:val="0"/>
        </w:rPr>
        <w:t xml:space="preserve">[Your contact details]</w:t>
      </w:r>
    </w:p>
    <w:p w:rsidR="00000000" w:rsidDel="00000000" w:rsidP="00000000" w:rsidRDefault="00000000" w:rsidRPr="00000000" w14:paraId="00000003">
      <w:pPr>
        <w:rPr>
          <w:color w:val="ff0000"/>
        </w:rPr>
      </w:pPr>
      <w:r w:rsidDel="00000000" w:rsidR="00000000" w:rsidRPr="00000000">
        <w:rPr>
          <w:color w:val="ff0000"/>
          <w:rtl w:val="0"/>
        </w:rPr>
        <w:t xml:space="preserve">[Date of letter]</w:t>
      </w:r>
    </w:p>
    <w:p w:rsidR="00000000" w:rsidDel="00000000" w:rsidP="00000000" w:rsidRDefault="00000000" w:rsidRPr="00000000" w14:paraId="00000004">
      <w:pPr>
        <w:rPr>
          <w:color w:val="ff0000"/>
        </w:rPr>
      </w:pPr>
      <w:r w:rsidDel="00000000" w:rsidR="00000000" w:rsidRPr="00000000">
        <w:rPr>
          <w:rtl w:val="0"/>
        </w:rPr>
      </w:r>
    </w:p>
    <w:p w:rsidR="00000000" w:rsidDel="00000000" w:rsidP="00000000" w:rsidRDefault="00000000" w:rsidRPr="00000000" w14:paraId="00000005">
      <w:pPr>
        <w:rPr>
          <w:color w:val="ff0000"/>
        </w:rPr>
      </w:pPr>
      <w:r w:rsidDel="00000000" w:rsidR="00000000" w:rsidRPr="00000000">
        <w:rPr>
          <w:color w:val="ff0000"/>
          <w:rtl w:val="0"/>
        </w:rPr>
        <w:t xml:space="preserve">[Your place of studies address]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Dear the board of trustees, </w:t>
      </w:r>
      <w:r w:rsidDel="00000000" w:rsidR="00000000" w:rsidRPr="00000000">
        <w:rPr>
          <w:color w:val="ff0000"/>
          <w:rtl w:val="0"/>
        </w:rPr>
        <w:t xml:space="preserve">[the university]</w:t>
      </w:r>
      <w:r w:rsidDel="00000000" w:rsidR="00000000" w:rsidRPr="00000000">
        <w:rPr>
          <w:rtl w:val="0"/>
        </w:rPr>
        <w:t xml:space="preserve">, </w:t>
      </w:r>
      <w:r w:rsidDel="00000000" w:rsidR="00000000" w:rsidRPr="00000000">
        <w:rPr>
          <w:color w:val="ff0000"/>
          <w:rtl w:val="0"/>
        </w:rPr>
        <w:t xml:space="preserve">[the head teacher]</w:t>
      </w:r>
      <w:r w:rsidDel="00000000" w:rsidR="00000000" w:rsidRPr="00000000">
        <w:rPr>
          <w:rtl w:val="0"/>
        </w:rPr>
        <w:t xml:space="preserve">, and the CQC</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Re: Civil Procedure Rules: </w:t>
      </w:r>
      <w:r w:rsidDel="00000000" w:rsidR="00000000" w:rsidRPr="00000000">
        <w:rPr>
          <w:b w:val="1"/>
          <w:vertAlign w:val="superscript"/>
        </w:rPr>
        <w:footnoteReference w:customMarkFollows="0" w:id="0"/>
      </w:r>
      <w:r w:rsidDel="00000000" w:rsidR="00000000" w:rsidRPr="00000000">
        <w:rPr>
          <w:b w:val="1"/>
          <w:rtl w:val="0"/>
        </w:rPr>
        <w:t xml:space="preserve">Covid-19 Vaccine Mandate Pre-Action letter of claim</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 write to you </w:t>
      </w:r>
      <w:r w:rsidDel="00000000" w:rsidR="00000000" w:rsidRPr="00000000">
        <w:rPr>
          <w:rtl w:val="0"/>
        </w:rPr>
        <w:t xml:space="preserve">with regards to </w:t>
      </w:r>
      <w:r w:rsidDel="00000000" w:rsidR="00000000" w:rsidRPr="00000000">
        <w:rPr>
          <w:rtl w:val="0"/>
        </w:rPr>
        <w:t xml:space="preserve">your proposed termination of my university contrac</w:t>
      </w:r>
      <w:r w:rsidDel="00000000" w:rsidR="00000000" w:rsidRPr="00000000">
        <w:rPr>
          <w:rtl w:val="0"/>
        </w:rPr>
        <w:t xml:space="preserve">t / placement in </w:t>
      </w:r>
      <w:r w:rsidDel="00000000" w:rsidR="00000000" w:rsidRPr="00000000">
        <w:rPr>
          <w:rtl w:val="0"/>
        </w:rPr>
        <w:t xml:space="preserve">purported compliance with the Health and Social Care Act 2008 (Regulated Activities) (Amendment) (Coronavirus) Regulations 2021</w:t>
      </w:r>
      <w:r w:rsidDel="00000000" w:rsidR="00000000" w:rsidRPr="00000000">
        <w:rPr>
          <w:vertAlign w:val="superscript"/>
        </w:rPr>
        <w:footnoteReference w:customMarkFollows="0" w:id="1"/>
      </w:r>
      <w:r w:rsidDel="00000000" w:rsidR="00000000" w:rsidRPr="00000000">
        <w:rPr>
          <w:rtl w:val="0"/>
        </w:rPr>
        <w:t xml:space="preserve"> [hereinafter called the Regulations].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For the reasons set out below, as my education provider</w:t>
      </w:r>
      <w:r w:rsidDel="00000000" w:rsidR="00000000" w:rsidRPr="00000000">
        <w:rPr>
          <w:rtl w:val="0"/>
        </w:rPr>
        <w:t xml:space="preserve">,</w:t>
      </w:r>
      <w:r w:rsidDel="00000000" w:rsidR="00000000" w:rsidRPr="00000000">
        <w:rPr>
          <w:rtl w:val="0"/>
        </w:rPr>
        <w:t xml:space="preserve"> you are making a negligent mistake as my safeguarder and </w:t>
      </w:r>
      <w:r w:rsidDel="00000000" w:rsidR="00000000" w:rsidRPr="00000000">
        <w:rPr>
          <w:rtl w:val="0"/>
        </w:rPr>
        <w:t xml:space="preserve">by misinterpreting</w:t>
      </w:r>
      <w:r w:rsidDel="00000000" w:rsidR="00000000" w:rsidRPr="00000000">
        <w:rPr>
          <w:rtl w:val="0"/>
        </w:rPr>
        <w:t xml:space="preserve"> the Regulations. That negligent mistake is causing me to be in fear of an unlawful termination of my university contract /placement or a coerced and invalid vaccination. Additionally, you are not respecting my rights to medical privacy and are </w:t>
      </w:r>
      <w:r w:rsidDel="00000000" w:rsidR="00000000" w:rsidRPr="00000000">
        <w:rPr>
          <w:rtl w:val="0"/>
        </w:rPr>
        <w:t xml:space="preserve">forcing</w:t>
      </w:r>
      <w:r w:rsidDel="00000000" w:rsidR="00000000" w:rsidRPr="00000000">
        <w:rPr>
          <w:rtl w:val="0"/>
        </w:rPr>
        <w:t xml:space="preserve"> me to forgo my right to privacy, informed consent, and bodily autonomy.</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Under Article 8 of the Human Rights Act 1998, I invoke my right to privacy. Data protection laws recognise medical data as requiring consent from the data subject, me, before being processed to a third party, you. The data protection laws are based on consent of the data subject and entitle the data subject not to give consent to have their medical data processed to third parties.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Could you confirm in writing that your public liability insurance indemnifies against any potential adverse reactions, or life-threatening injuries that may occur from your forced medical intervention. Under the Health and Safety at Work Act,</w:t>
      </w:r>
      <w:r w:rsidDel="00000000" w:rsidR="00000000" w:rsidRPr="00000000">
        <w:rPr>
          <w:vertAlign w:val="superscript"/>
        </w:rPr>
        <w:footnoteReference w:customMarkFollows="0" w:id="2"/>
      </w:r>
      <w:r w:rsidDel="00000000" w:rsidR="00000000" w:rsidRPr="00000000">
        <w:rPr>
          <w:rtl w:val="0"/>
        </w:rPr>
        <w:t xml:space="preserve"> an individual risk assessment must be carried out by a medical professional. By not undertaking an individual risk assessment, with regards to the Covid-19 vaccination, would lead to negligence on your behalf. Could you refer me to the legislation that requires me to undertake a forced medical intervention with a currently experimental vaccine.</w:t>
      </w:r>
    </w:p>
    <w:p w:rsidR="00000000" w:rsidDel="00000000" w:rsidP="00000000" w:rsidRDefault="00000000" w:rsidRPr="00000000" w14:paraId="00000012">
      <w:pPr>
        <w:rPr>
          <w:color w:val="ff0000"/>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The regulations are complied with by my oral statement to you that I have not given informed consent to vaccination. A failure to give informed consent is a clinical reason not to be vaccinated. That oral statement confirmed here in writing amounts to satisfactory evidence which discharges your obligations under regulation 5 (2).</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 require that you by 5.00 pm on 31st January 2022 sign and return by way of undertakings at the end of this letter which will confirm that: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5"/>
        </w:numPr>
        <w:ind w:left="720" w:hanging="360"/>
        <w:rPr>
          <w:u w:val="none"/>
        </w:rPr>
      </w:pPr>
      <w:r w:rsidDel="00000000" w:rsidR="00000000" w:rsidRPr="00000000">
        <w:rPr>
          <w:rtl w:val="0"/>
        </w:rPr>
        <w:t xml:space="preserve">You will either accept that satisfactory evidence, absence of valid informed consent is a self-certified clinical reason why you should not and indeed cannot be lawfully vaccinated.</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negligent mistake in law that you are making is interpreting Regulation 5 (2) of the Regulations incorrectly. Regulation 5 (2) requires the CQC registered person to obtain satisfactory evidence of either: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numPr>
          <w:ilvl w:val="0"/>
          <w:numId w:val="3"/>
        </w:numPr>
        <w:ind w:left="720" w:hanging="360"/>
        <w:rPr>
          <w:u w:val="none"/>
        </w:rPr>
      </w:pPr>
      <w:r w:rsidDel="00000000" w:rsidR="00000000" w:rsidRPr="00000000">
        <w:rPr>
          <w:rtl w:val="0"/>
        </w:rPr>
        <w:t xml:space="preserve">That I have been vaccinated with the complete course of doses of an authorised vaccine; or</w:t>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numPr>
          <w:ilvl w:val="0"/>
          <w:numId w:val="3"/>
        </w:numPr>
        <w:ind w:left="720" w:hanging="360"/>
        <w:rPr>
          <w:u w:val="none"/>
        </w:rPr>
      </w:pPr>
      <w:r w:rsidDel="00000000" w:rsidR="00000000" w:rsidRPr="00000000">
        <w:rPr>
          <w:rtl w:val="0"/>
        </w:rPr>
        <w:t xml:space="preserve">That for clinical reasons I should not be vaccinated with any authorised vaccine;</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If satisfactory evidence is not obtained the registered person is required to secure that I do not enter the premises.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Regulation 5 (2) (b) must be interpreted in a way that is consistent with the language used. The word “satisfies” means satisfies in a lawful way. The words “for clinical reasons should not be vaccinated” must therefore be interpreted in accordance with the rule of law and established and recognised case law.</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Your negligent mistake of law is not recognising my statutory and common law right to medical privacy that is expressly recognised by s.5(5) of the statute. That right expressly refers to rights under data protection laws. Data protection laws recognise medical data as requiring consent from the data subject, me, before being processed to a third party, you. The data protection laws are based on consent of the data subject and entitle the data subject not to give consent to have their medical data processed to third parties.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You have made a negligent mistake in law in not recognising that the absence of valid informed consent is a self-certified reason at common law why I should not and indeed cannot be lawfully vaccinated.</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Proposing to dismiss me for failing either to be vaccinated or for failing to accept that a clinical reason for non-vaccination is not consenting to vaccination is an unlawful proposal as it amounts to coercion to medical treatment, an unlawful attempt to coerce me to consent to give up data protection rights and an assault.</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The tort of committing battery itself, involves the actual process of vaccinating, or coercing me into vaccination without valid informed consent, however, giving a timescale for me to get vaccinated or lose my place in university constitutes an assault in common law.</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Should you fail to sign and return the undertakings, I will consider that you have caused the civil tort and summary criminal offence of assault by intentionally, recklessly, or negligently causing me to apprehend unlawful violence in the form of seeking to induce medical treatment without valid informed consent by putting my education at risk.</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The purpose of this letter is for you to cease and desist from this tort and potential criminal offence and satisfactory evidence of ceasing and desisting is returning the signed undertaking by no later than 5pm on the 31st January 2022.</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This is because medical treatment and testing without valid informed consent causes the civil tort and summary criminal offence of battery. The indictable offences of actual or grievous bodily harm, civil tort of wrongful death or indictable offence of manslaughter could also occur if vaccine injury can be proven. You can be held responsible for these torts and offences by inducing them to occur.</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Additionally and incidentally you may also have committed the either summary or indictable offences under s.1 of the Bribery Act (2010)</w:t>
      </w:r>
      <w:r w:rsidDel="00000000" w:rsidR="00000000" w:rsidRPr="00000000">
        <w:rPr>
          <w:vertAlign w:val="superscript"/>
        </w:rPr>
        <w:footnoteReference w:customMarkFollows="0" w:id="3"/>
      </w:r>
      <w:r w:rsidDel="00000000" w:rsidR="00000000" w:rsidRPr="00000000">
        <w:rPr>
          <w:vertAlign w:val="superscript"/>
        </w:rPr>
        <w:footnoteReference w:customMarkFollows="0" w:id="4"/>
      </w:r>
      <w:r w:rsidDel="00000000" w:rsidR="00000000" w:rsidRPr="00000000">
        <w:rPr>
          <w:rtl w:val="0"/>
        </w:rPr>
        <w:t xml:space="preserve"> and you may appear to have attempted to induce me to commit an offence under s.2 by encouraging me to accept a bribe, </w:t>
      </w:r>
      <w:r w:rsidDel="00000000" w:rsidR="00000000" w:rsidRPr="00000000">
        <w:rPr>
          <w:rtl w:val="0"/>
        </w:rPr>
        <w:t xml:space="preserve">with forced  medical intervention, in order to continue my </w:t>
      </w:r>
      <w:r w:rsidDel="00000000" w:rsidR="00000000" w:rsidRPr="00000000">
        <w:rPr>
          <w:rtl w:val="0"/>
        </w:rPr>
        <w:t xml:space="preserve">education at this university.  </w:t>
      </w:r>
      <w:r w:rsidDel="00000000" w:rsidR="00000000" w:rsidRPr="00000000">
        <w:rPr>
          <w:rtl w:val="0"/>
        </w:rPr>
        <w:t xml:space="preserve">I either accept a vaccination, or my placement will not commence. My medical status is private and confidential. And without consent from the data subject, me, I have no obligation to give you that data, and you have no right to ask for it.</w:t>
      </w:r>
    </w:p>
    <w:p w:rsidR="00000000" w:rsidDel="00000000" w:rsidP="00000000" w:rsidRDefault="00000000" w:rsidRPr="00000000" w14:paraId="00000032">
      <w:pPr>
        <w:rPr>
          <w:color w:val="ff0000"/>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Additionally and incidentally you may also have committed the indictable offence of blackmail pursuant to s.21 of the Theft Act (1968)</w:t>
      </w:r>
      <w:r w:rsidDel="00000000" w:rsidR="00000000" w:rsidRPr="00000000">
        <w:rPr>
          <w:vertAlign w:val="superscript"/>
        </w:rPr>
        <w:footnoteReference w:customMarkFollows="0" w:id="5"/>
      </w:r>
      <w:r w:rsidDel="00000000" w:rsidR="00000000" w:rsidRPr="00000000">
        <w:rPr>
          <w:rtl w:val="0"/>
        </w:rPr>
        <w:t xml:space="preserve"> if the courts find that you, with intent to cause loss, in this case trespass against the person, made unwarranted demand with menaces. The nature of the act or omission demanded is immaterial, and it is also immaterial whether the menaces relate to action to be taken by the person making the demand.</w:t>
      </w:r>
      <w:r w:rsidDel="00000000" w:rsidR="00000000" w:rsidRPr="00000000">
        <w:rPr>
          <w:vertAlign w:val="superscript"/>
        </w:rPr>
        <w:footnoteReference w:customMarkFollows="0" w:id="6"/>
      </w:r>
      <w:r w:rsidDel="00000000" w:rsidR="00000000" w:rsidRPr="00000000">
        <w:rPr>
          <w:rtl w:val="0"/>
        </w:rPr>
        <w:t xml:space="preserve"> You need to take legal advice on these issues.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Any action may also be taken against the organisation under vicarious liability.</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Other students who may not be aware of their rights regarding medical privacy and trespass against the person may nonetheless take similar action within the six-year statute of limitation, with negligence claims thawing a three-year limitation. I am not aware of Parliament providing any indemnity for Care Home providers regarding the vaccine mandate.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I enclose the following:</w:t>
      </w:r>
    </w:p>
    <w:p w:rsidR="00000000" w:rsidDel="00000000" w:rsidP="00000000" w:rsidRDefault="00000000" w:rsidRPr="00000000" w14:paraId="0000003A">
      <w:pPr>
        <w:numPr>
          <w:ilvl w:val="0"/>
          <w:numId w:val="2"/>
        </w:numPr>
        <w:ind w:left="720" w:hanging="360"/>
        <w:rPr>
          <w:u w:val="none"/>
        </w:rPr>
      </w:pPr>
      <w:r w:rsidDel="00000000" w:rsidR="00000000" w:rsidRPr="00000000">
        <w:rPr>
          <w:rtl w:val="0"/>
        </w:rPr>
        <w:t xml:space="preserve">Undertaking.</w:t>
      </w:r>
    </w:p>
    <w:p w:rsidR="00000000" w:rsidDel="00000000" w:rsidP="00000000" w:rsidRDefault="00000000" w:rsidRPr="00000000" w14:paraId="0000003B">
      <w:pPr>
        <w:numPr>
          <w:ilvl w:val="0"/>
          <w:numId w:val="2"/>
        </w:numPr>
        <w:ind w:left="720" w:hanging="360"/>
        <w:rPr>
          <w:u w:val="none"/>
        </w:rPr>
      </w:pPr>
      <w:r w:rsidDel="00000000" w:rsidR="00000000" w:rsidRPr="00000000">
        <w:rPr>
          <w:rtl w:val="0"/>
        </w:rPr>
        <w:t xml:space="preserve">A statement summarising the claim.</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u w:val="single"/>
        </w:rPr>
      </w:pPr>
      <w:r w:rsidDel="00000000" w:rsidR="00000000" w:rsidRPr="00000000">
        <w:rPr>
          <w:u w:val="single"/>
          <w:rtl w:val="0"/>
        </w:rPr>
        <w:t xml:space="preserve">Should you fail to return the signed undertaking by allowing me to continue my education by the 31st January, I reserve the right to apply to the court with or without notice for an injunction prohibiting your unlawful acts and asking the Court for a declaration that section 5 (2) is satisfied by an oral statement that I have clinical reasons for not consenting.</w:t>
      </w:r>
    </w:p>
    <w:p w:rsidR="00000000" w:rsidDel="00000000" w:rsidP="00000000" w:rsidRDefault="00000000" w:rsidRPr="00000000" w14:paraId="0000003E">
      <w:pPr>
        <w:rPr>
          <w:u w:val="single"/>
        </w:rPr>
      </w:pPr>
      <w:r w:rsidDel="00000000" w:rsidR="00000000" w:rsidRPr="00000000">
        <w:rPr>
          <w:rtl w:val="0"/>
        </w:rPr>
      </w:r>
    </w:p>
    <w:p w:rsidR="00000000" w:rsidDel="00000000" w:rsidP="00000000" w:rsidRDefault="00000000" w:rsidRPr="00000000" w14:paraId="0000003F">
      <w:pPr>
        <w:rPr>
          <w:u w:val="single"/>
        </w:rPr>
      </w:pPr>
      <w:r w:rsidDel="00000000" w:rsidR="00000000" w:rsidRPr="00000000">
        <w:rPr>
          <w:u w:val="single"/>
          <w:rtl w:val="0"/>
        </w:rPr>
        <w:t xml:space="preserve">Further and in the alternative I reserve the right to bring claims under the Equality Act 2010, the Employment Rights Act  1996 as well as claims in the civil courts for the Torts referred to above.</w:t>
      </w:r>
    </w:p>
    <w:p w:rsidR="00000000" w:rsidDel="00000000" w:rsidP="00000000" w:rsidRDefault="00000000" w:rsidRPr="00000000" w14:paraId="00000040">
      <w:pPr>
        <w:rPr>
          <w:u w:val="single"/>
        </w:rPr>
      </w:pPr>
      <w:r w:rsidDel="00000000" w:rsidR="00000000" w:rsidRPr="00000000">
        <w:rPr>
          <w:rtl w:val="0"/>
        </w:rPr>
      </w:r>
    </w:p>
    <w:p w:rsidR="00000000" w:rsidDel="00000000" w:rsidP="00000000" w:rsidRDefault="00000000" w:rsidRPr="00000000" w14:paraId="00000041">
      <w:pPr>
        <w:rPr>
          <w:u w:val="single"/>
        </w:rPr>
      </w:pPr>
      <w:r w:rsidDel="00000000" w:rsidR="00000000" w:rsidRPr="00000000">
        <w:rPr>
          <w:u w:val="single"/>
          <w:rtl w:val="0"/>
        </w:rPr>
        <w:t xml:space="preserve">I have sent a copy of this letter to the CQC and requested that the CQC accepts the undertaking as meeting your obligations under Regulation 5 (2) to have satisfactory evidence of a clinical reason not to be vaccinated.</w:t>
      </w:r>
    </w:p>
    <w:p w:rsidR="00000000" w:rsidDel="00000000" w:rsidP="00000000" w:rsidRDefault="00000000" w:rsidRPr="00000000" w14:paraId="00000042">
      <w:pPr>
        <w:rPr>
          <w:u w:val="single"/>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Yours sincerely,</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color w:val="ff0000"/>
        </w:rPr>
      </w:pPr>
      <w:r w:rsidDel="00000000" w:rsidR="00000000" w:rsidRPr="00000000">
        <w:rPr>
          <w:color w:val="ff0000"/>
          <w:rtl w:val="0"/>
        </w:rPr>
        <w:t xml:space="preserve">[Your name]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b w:val="1"/>
          <w:sz w:val="34"/>
          <w:szCs w:val="34"/>
          <w:u w:val="single"/>
        </w:rPr>
      </w:pPr>
      <w:r w:rsidDel="00000000" w:rsidR="00000000" w:rsidRPr="00000000">
        <w:rPr>
          <w:b w:val="1"/>
          <w:sz w:val="34"/>
          <w:szCs w:val="34"/>
          <w:u w:val="single"/>
          <w:rtl w:val="0"/>
        </w:rPr>
        <w:t xml:space="preserve">Undertaking:</w:t>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I, [Insert name] the head teacher of [insert name of university] undertake to [insert name of student] as follows: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numPr>
          <w:ilvl w:val="0"/>
          <w:numId w:val="4"/>
        </w:numPr>
        <w:ind w:left="720" w:hanging="360"/>
        <w:rPr>
          <w:u w:val="none"/>
        </w:rPr>
      </w:pPr>
      <w:r w:rsidDel="00000000" w:rsidR="00000000" w:rsidRPr="00000000">
        <w:rPr>
          <w:rtl w:val="0"/>
        </w:rPr>
        <w:t xml:space="preserve">I will accept the absence of valid informed consent as satisfactory evidence of a self-certified clinical reason why you should not and indeed cannot be lawfully vaccinated</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ab/>
        <w:t xml:space="preserve">Pursuant to Regulation 12(3)(b)(ii) of the Health and Social Care Act 2008 </w:t>
        <w:tab/>
        <w:tab/>
        <w:t xml:space="preserve">(Regulated Activities) Regulations 2014,</w:t>
      </w:r>
      <w:r w:rsidDel="00000000" w:rsidR="00000000" w:rsidRPr="00000000">
        <w:rPr>
          <w:vertAlign w:val="superscript"/>
        </w:rPr>
        <w:footnoteReference w:customMarkFollows="0" w:id="7"/>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ab/>
        <w:t xml:space="preserve">As amended by s.5 of the Health and Social Care Act 2008 (Regulated Activities) </w:t>
        <w:tab/>
        <w:t xml:space="preserve">(Amendment) (Coronavirus) Regulations 2021.</w:t>
      </w:r>
      <w:r w:rsidDel="00000000" w:rsidR="00000000" w:rsidRPr="00000000">
        <w:rPr>
          <w:vertAlign w:val="superscript"/>
        </w:rPr>
        <w:footnoteReference w:customMarkFollows="0" w:id="8"/>
      </w: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I sign this undertaking, on behalf of the headmaster and a member of the board of directors, or as the headmaster</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Dated</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b w:val="1"/>
          <w:u w:val="single"/>
        </w:rPr>
      </w:pPr>
      <w:r w:rsidDel="00000000" w:rsidR="00000000" w:rsidRPr="00000000">
        <w:rPr>
          <w:b w:val="1"/>
          <w:u w:val="single"/>
          <w:rtl w:val="0"/>
        </w:rPr>
        <w:t xml:space="preserve">Summary of claim:</w:t>
      </w:r>
    </w:p>
    <w:p w:rsidR="00000000" w:rsidDel="00000000" w:rsidP="00000000" w:rsidRDefault="00000000" w:rsidRPr="00000000" w14:paraId="00000093">
      <w:pPr>
        <w:rPr>
          <w:b w:val="1"/>
          <w:u w:val="single"/>
        </w:rPr>
      </w:pPr>
      <w:r w:rsidDel="00000000" w:rsidR="00000000" w:rsidRPr="00000000">
        <w:rPr>
          <w:rtl w:val="0"/>
        </w:rPr>
      </w:r>
    </w:p>
    <w:p w:rsidR="00000000" w:rsidDel="00000000" w:rsidP="00000000" w:rsidRDefault="00000000" w:rsidRPr="00000000" w14:paraId="00000094">
      <w:pPr>
        <w:rPr>
          <w:b w:val="1"/>
          <w:u w:val="single"/>
        </w:rPr>
      </w:pPr>
      <w:r w:rsidDel="00000000" w:rsidR="00000000" w:rsidRPr="00000000">
        <w:rPr>
          <w:b w:val="1"/>
          <w:u w:val="single"/>
          <w:rtl w:val="0"/>
        </w:rPr>
        <w:t xml:space="preserve">I claim losses arising out of your threat of terminating my education relying on your negligent mistake in law in interpreting the Regulations. If you fail to return to the undertaking I claim all and any losses arising out of the termination of my education.</w:t>
      </w:r>
    </w:p>
    <w:p w:rsidR="00000000" w:rsidDel="00000000" w:rsidP="00000000" w:rsidRDefault="00000000" w:rsidRPr="00000000" w14:paraId="00000095">
      <w:pPr>
        <w:rPr>
          <w:b w:val="1"/>
          <w:u w:val="single"/>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It is understandable that you as a responsible person and / or education facilitator are concerned about the possibility of being prosecuted by CQC for the summary offence under s.22 of “The Health and Social Care Act 2008 (Regulated Activities) Regulations 2014”</w:t>
      </w:r>
      <w:r w:rsidDel="00000000" w:rsidR="00000000" w:rsidRPr="00000000">
        <w:rPr>
          <w:vertAlign w:val="superscript"/>
        </w:rPr>
        <w:footnoteReference w:customMarkFollows="0" w:id="9"/>
      </w:r>
      <w:r w:rsidDel="00000000" w:rsidR="00000000" w:rsidRPr="00000000">
        <w:rPr>
          <w:rtl w:val="0"/>
        </w:rPr>
        <w:t xml:space="preserve"> if you fail to comply with a requirement of regulation 12 such as the vaccine mandate You can also be prosecuted under s.33 of the Health and Safety at Work Act (1974)</w:t>
      </w:r>
      <w:r w:rsidDel="00000000" w:rsidR="00000000" w:rsidRPr="00000000">
        <w:rPr>
          <w:vertAlign w:val="superscript"/>
        </w:rPr>
        <w:footnoteReference w:customMarkFollows="0" w:id="10"/>
      </w:r>
      <w:r w:rsidDel="00000000" w:rsidR="00000000" w:rsidRPr="00000000">
        <w:rPr>
          <w:rtl w:val="0"/>
        </w:rPr>
        <w:t xml:space="preserve"> for failing your s.4 general duty with regards persons other than employees.</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However, s.22(4) of the 2014 Regulations provides a defence for a registered person</w:t>
      </w:r>
      <w:r w:rsidDel="00000000" w:rsidR="00000000" w:rsidRPr="00000000">
        <w:rPr>
          <w:vertAlign w:val="superscript"/>
        </w:rPr>
        <w:footnoteReference w:customMarkFollows="0" w:id="11"/>
      </w:r>
      <w:r w:rsidDel="00000000" w:rsidR="00000000" w:rsidRPr="00000000">
        <w:rPr>
          <w:rtl w:val="0"/>
        </w:rPr>
        <w:t xml:space="preserve"> if they can prove that they took all reasonable steps and exercised all due diligence to prevent the breach of any of those regulations that has occurred. S.4 of the Health and Safety at Work Act also requires steps to be taken insofar as they are reasonable for a person in that position to take and, where they are reasonably practicable.</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s.5(5) of the Regulations expressly states that nothing in the regulation authorises the processing of personal data in a manner inconsistent with any provision of data protection legislation. The Regulations do not affect common law, particularly as the common law relied on amounts to a human right.</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Opportunities for due diligence are therefore almost entirely removed by s.3 of Access to Medical Reports Act (1998)</w:t>
      </w:r>
      <w:r w:rsidDel="00000000" w:rsidR="00000000" w:rsidRPr="00000000">
        <w:rPr>
          <w:vertAlign w:val="superscript"/>
        </w:rPr>
        <w:footnoteReference w:customMarkFollows="0" w:id="12"/>
      </w:r>
      <w:r w:rsidDel="00000000" w:rsidR="00000000" w:rsidRPr="00000000">
        <w:rPr>
          <w:rtl w:val="0"/>
        </w:rPr>
        <w:t xml:space="preserve"> which provides a statutory civil right to withhold consent to any application for medical reports for employment or insurance purposes, the breach of which causes a </w:t>
      </w:r>
      <w:r w:rsidDel="00000000" w:rsidR="00000000" w:rsidRPr="00000000">
        <w:rPr>
          <w:rtl w:val="0"/>
        </w:rPr>
        <w:t xml:space="preserve">suable</w:t>
      </w:r>
      <w:r w:rsidDel="00000000" w:rsidR="00000000" w:rsidRPr="00000000">
        <w:rPr>
          <w:rtl w:val="0"/>
        </w:rPr>
        <w:t xml:space="preserve"> tort. If information is obtained through coercion, offences under s.170 of the Data Protect Act (2018)</w:t>
      </w:r>
      <w:r w:rsidDel="00000000" w:rsidR="00000000" w:rsidRPr="00000000">
        <w:rPr>
          <w:vertAlign w:val="superscript"/>
        </w:rPr>
        <w:footnoteReference w:customMarkFollows="0" w:id="13"/>
      </w:r>
      <w:r w:rsidDel="00000000" w:rsidR="00000000" w:rsidRPr="00000000">
        <w:rPr>
          <w:rtl w:val="0"/>
        </w:rPr>
        <w:t xml:space="preserve"> may also be committed. </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Human Rights are also engaged. In Z v Finland (1998) 25 EHRR 371</w:t>
      </w:r>
      <w:r w:rsidDel="00000000" w:rsidR="00000000" w:rsidRPr="00000000">
        <w:rPr>
          <w:vertAlign w:val="superscript"/>
        </w:rPr>
        <w:footnoteReference w:customMarkFollows="0" w:id="14"/>
      </w:r>
      <w:r w:rsidDel="00000000" w:rsidR="00000000" w:rsidRPr="00000000">
        <w:rPr>
          <w:rtl w:val="0"/>
        </w:rPr>
        <w:t xml:space="preserve">, the European Court of Human Rights held that respecting confidentiality of health data engages Article 8 (right to respect for one’s “private and family life, his home and his correspondence”) and that this is a “vital principle in the legal systems of all the Contracting Parties to the Convention.”</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A similar issue was recently considered by the High Court of England and Wales in Neale v DPP EWHC 658</w:t>
      </w:r>
      <w:r w:rsidDel="00000000" w:rsidR="00000000" w:rsidRPr="00000000">
        <w:rPr>
          <w:vertAlign w:val="superscript"/>
        </w:rPr>
        <w:footnoteReference w:customMarkFollows="0" w:id="15"/>
      </w:r>
      <w:r w:rsidDel="00000000" w:rsidR="00000000" w:rsidRPr="00000000">
        <w:rPr>
          <w:rtl w:val="0"/>
        </w:rPr>
        <w:t xml:space="preserve">. In that case the High Court held that despite the 2020 Welsh Coronavirus restrictions requiring Constables to ask for the name and address of people suspected of breaching the regulations, for the purpose of issuing a fixed penalty notice, that suspects nonetheless retained the right at common law to remain silent and not assist or accompany a constable, set out in Rice v Connolly [1966] 2 QB 414</w:t>
      </w:r>
      <w:r w:rsidDel="00000000" w:rsidR="00000000" w:rsidRPr="00000000">
        <w:rPr>
          <w:vertAlign w:val="superscript"/>
        </w:rPr>
        <w:footnoteReference w:customMarkFollows="0" w:id="16"/>
      </w:r>
      <w:r w:rsidDel="00000000" w:rsidR="00000000" w:rsidRPr="00000000">
        <w:rPr>
          <w:rtl w:val="0"/>
        </w:rPr>
        <w:t xml:space="preserve">. Police therefore wrongfully arrested Keith Neale for failing to provide his name and address. In this case the statutory instrument expressly fails to effect data protection legislation that provides a similar right to remain silent with regards to private medical information. It would therefore be wrong to dismiss a student for exercising that right when the absence of valid informed consent is a self-certified clinical reason why a person cannot be vaccinated.</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I therefore hereby declare that I reserve my statutory and common law right to not divulge my vaccination status or provide information about specific clinical reasons why I should not be vaccinated. Data protection laws mean that you cannot take any further steps, therefore engaging your due diligence and all reasonable steps defences against prosecution by the CQC. This letter and summary of claim stands as satisfactory evidence.</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These lawful omissions means that you have no evidence that valid informed consent has been provided for me to be vaccinated. This is evidence at law of a clinical reason why I should not and indeed cannot be lawfully vaccinated. This is because vaccination, masking, testing, or any other medical intervention are only lawful with valid informed consent. </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Should you not agree with this assessment, the regulations and its primary legislation nonetheless provide no enforcement powers to ensure that I do not enter the premises. You can therefore only secure that I do not enter the premises through other lawful means. It would however, be unlawful and or discriminatory to cite the exercise of my right to medical privacy and valid informed consent as a basis for dismissal or disciplinary proceedings</w:t>
      </w:r>
      <w:r w:rsidDel="00000000" w:rsidR="00000000" w:rsidRPr="00000000">
        <w:rPr>
          <w:vertAlign w:val="superscript"/>
        </w:rPr>
        <w:footnoteReference w:customMarkFollows="0" w:id="17"/>
      </w:r>
      <w:r w:rsidDel="00000000" w:rsidR="00000000" w:rsidRPr="00000000">
        <w:rPr>
          <w:rtl w:val="0"/>
        </w:rPr>
        <w:t xml:space="preserve">. That there is no lawful means to secure that I do not enter the premises again engages your due diligence and all reasonable steps defences against prosecution.</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If you secure by unlawful means that I do not enter my place of education, this would cause the suable civil tort of including breach of contract, if on the balance of probability you knowingly and intentionally induced or procured the breach without reasonable justification</w:t>
      </w:r>
      <w:r w:rsidDel="00000000" w:rsidR="00000000" w:rsidRPr="00000000">
        <w:rPr>
          <w:vertAlign w:val="superscript"/>
        </w:rPr>
        <w:footnoteReference w:customMarkFollows="0" w:id="18"/>
      </w:r>
      <w:r w:rsidDel="00000000" w:rsidR="00000000" w:rsidRPr="00000000">
        <w:rPr>
          <w:rtl w:val="0"/>
        </w:rPr>
        <w:t xml:space="preserve">. It could also form grounds for unlawful or constructive dismissal. Furthermore, I may hold you liable to pay off my student loans.</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DHSC and NHS support this interpretation of the law, albeit in relation to their own application the covid pass. Guidance states: </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i w:val="1"/>
        </w:rPr>
      </w:pPr>
      <w:r w:rsidDel="00000000" w:rsidR="00000000" w:rsidRPr="00000000">
        <w:rPr>
          <w:i w:val="1"/>
          <w:rtl w:val="0"/>
        </w:rPr>
        <w:t xml:space="preserve">“If you have a medical reason which means you cannot be vaccinated or tested, you may be asked to self-declare this medical exemption.”</w:t>
      </w:r>
      <w:r w:rsidDel="00000000" w:rsidR="00000000" w:rsidRPr="00000000">
        <w:rPr>
          <w:i w:val="1"/>
          <w:vertAlign w:val="superscript"/>
        </w:rPr>
        <w:footnoteReference w:customMarkFollows="0" w:id="19"/>
      </w: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And that individuals who have a medical reason why they cannot be vaccinated or tested</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i w:val="1"/>
        </w:rPr>
      </w:pPr>
      <w:r w:rsidDel="00000000" w:rsidR="00000000" w:rsidRPr="00000000">
        <w:rPr>
          <w:i w:val="1"/>
          <w:rtl w:val="0"/>
        </w:rPr>
        <w:t xml:space="preserve">“We will need to self-declare their medical exemption directly with you”</w:t>
      </w:r>
      <w:r w:rsidDel="00000000" w:rsidR="00000000" w:rsidRPr="00000000">
        <w:rPr>
          <w:rtl w:val="0"/>
        </w:rPr>
        <w:t xml:space="preserve"> and </w:t>
      </w:r>
      <w:r w:rsidDel="00000000" w:rsidR="00000000" w:rsidRPr="00000000">
        <w:rPr>
          <w:i w:val="1"/>
          <w:rtl w:val="0"/>
        </w:rPr>
        <w:t xml:space="preserve">“if your customer confirms that they have a self-declared exemption, but is unable to show any evidence, you should allow them access to your venue or event. You must not ask for proof of their medical exemption and it is not essential they show any form of exemption card at any point.”</w:t>
      </w:r>
      <w:r w:rsidDel="00000000" w:rsidR="00000000" w:rsidRPr="00000000">
        <w:rPr>
          <w:i w:val="1"/>
          <w:vertAlign w:val="superscript"/>
        </w:rPr>
        <w:footnoteReference w:customMarkFollows="0" w:id="20"/>
      </w:r>
      <w:r w:rsidDel="00000000" w:rsidR="00000000" w:rsidRPr="00000000">
        <w:rPr>
          <w:rtl w:val="0"/>
        </w:rPr>
      </w:r>
    </w:p>
    <w:p w:rsidR="00000000" w:rsidDel="00000000" w:rsidP="00000000" w:rsidRDefault="00000000" w:rsidRPr="00000000" w14:paraId="000000B1">
      <w:pPr>
        <w:rPr>
          <w:i w:val="1"/>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The Department of Health and Social Care provides guidance on informed consent. </w:t>
      </w:r>
      <w:r w:rsidDel="00000000" w:rsidR="00000000" w:rsidRPr="00000000">
        <w:rPr>
          <w:vertAlign w:val="superscript"/>
        </w:rPr>
        <w:footnoteReference w:customMarkFollows="0" w:id="21"/>
      </w:r>
      <w:r w:rsidDel="00000000" w:rsidR="00000000" w:rsidRPr="00000000">
        <w:rPr>
          <w:rtl w:val="0"/>
        </w:rPr>
        <w:t xml:space="preserve">The NHS also state on their website that valid informed consent comprises the following elements</w:t>
      </w:r>
      <w:r w:rsidDel="00000000" w:rsidR="00000000" w:rsidRPr="00000000">
        <w:rPr>
          <w:vertAlign w:val="superscript"/>
        </w:rPr>
        <w:footnoteReference w:customMarkFollows="0" w:id="22"/>
      </w:r>
      <w:r w:rsidDel="00000000" w:rsidR="00000000" w:rsidRPr="00000000">
        <w:rPr>
          <w:rtl w:val="0"/>
        </w:rPr>
        <w:t xml:space="preserve"> that are also found in Chapter 2 of the Public Health England’s Green Book on Vaccination.</w:t>
      </w:r>
      <w:r w:rsidDel="00000000" w:rsidR="00000000" w:rsidRPr="00000000">
        <w:rPr>
          <w:vertAlign w:val="superscript"/>
        </w:rPr>
        <w:footnoteReference w:customMarkFollows="0" w:id="23"/>
      </w: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numPr>
          <w:ilvl w:val="0"/>
          <w:numId w:val="1"/>
        </w:numPr>
        <w:ind w:left="1440" w:hanging="360"/>
        <w:rPr>
          <w:b w:val="1"/>
        </w:rPr>
      </w:pPr>
      <w:r w:rsidDel="00000000" w:rsidR="00000000" w:rsidRPr="00000000">
        <w:rPr>
          <w:b w:val="1"/>
          <w:rtl w:val="0"/>
        </w:rPr>
        <w:t xml:space="preserve">Voluntary </w:t>
      </w:r>
      <w:r w:rsidDel="00000000" w:rsidR="00000000" w:rsidRPr="00000000">
        <w:rPr>
          <w:rtl w:val="0"/>
        </w:rPr>
        <w:t xml:space="preserve">- the decision to either consent or not to consent to treatment must be made by the person, and must not be influenced by pressure from medical staff, friends or family (or employer or education facilitator) </w:t>
      </w:r>
    </w:p>
    <w:p w:rsidR="00000000" w:rsidDel="00000000" w:rsidP="00000000" w:rsidRDefault="00000000" w:rsidRPr="00000000" w14:paraId="000000B5">
      <w:pPr>
        <w:ind w:left="1440" w:firstLine="0"/>
        <w:rPr/>
      </w:pPr>
      <w:r w:rsidDel="00000000" w:rsidR="00000000" w:rsidRPr="00000000">
        <w:rPr>
          <w:rtl w:val="0"/>
        </w:rPr>
      </w:r>
    </w:p>
    <w:p w:rsidR="00000000" w:rsidDel="00000000" w:rsidP="00000000" w:rsidRDefault="00000000" w:rsidRPr="00000000" w14:paraId="000000B6">
      <w:pPr>
        <w:numPr>
          <w:ilvl w:val="0"/>
          <w:numId w:val="1"/>
        </w:numPr>
        <w:ind w:left="1440" w:hanging="360"/>
        <w:rPr>
          <w:b w:val="1"/>
        </w:rPr>
      </w:pPr>
      <w:r w:rsidDel="00000000" w:rsidR="00000000" w:rsidRPr="00000000">
        <w:rPr>
          <w:b w:val="1"/>
          <w:rtl w:val="0"/>
        </w:rPr>
        <w:t xml:space="preserve">Informed </w:t>
      </w:r>
      <w:r w:rsidDel="00000000" w:rsidR="00000000" w:rsidRPr="00000000">
        <w:rPr>
          <w:rtl w:val="0"/>
        </w:rPr>
        <w:t xml:space="preserve">- the person must be given all of the information about what the treatment involves, including the benefits and risks, whether there are reasonable alternative treatments, and what will happen if treatment does not go ahead</w:t>
      </w:r>
    </w:p>
    <w:p w:rsidR="00000000" w:rsidDel="00000000" w:rsidP="00000000" w:rsidRDefault="00000000" w:rsidRPr="00000000" w14:paraId="000000B7">
      <w:pPr>
        <w:ind w:left="1440" w:firstLine="0"/>
        <w:rPr/>
      </w:pPr>
      <w:r w:rsidDel="00000000" w:rsidR="00000000" w:rsidRPr="00000000">
        <w:rPr>
          <w:rtl w:val="0"/>
        </w:rPr>
      </w:r>
    </w:p>
    <w:p w:rsidR="00000000" w:rsidDel="00000000" w:rsidP="00000000" w:rsidRDefault="00000000" w:rsidRPr="00000000" w14:paraId="000000B8">
      <w:pPr>
        <w:numPr>
          <w:ilvl w:val="0"/>
          <w:numId w:val="1"/>
        </w:numPr>
        <w:ind w:left="1440" w:hanging="360"/>
        <w:rPr>
          <w:b w:val="1"/>
        </w:rPr>
      </w:pPr>
      <w:r w:rsidDel="00000000" w:rsidR="00000000" w:rsidRPr="00000000">
        <w:rPr>
          <w:b w:val="1"/>
          <w:rtl w:val="0"/>
        </w:rPr>
        <w:t xml:space="preserve">Capacity </w:t>
      </w:r>
      <w:r w:rsidDel="00000000" w:rsidR="00000000" w:rsidRPr="00000000">
        <w:rPr>
          <w:rtl w:val="0"/>
        </w:rPr>
        <w:t xml:space="preserve">- the person must be capable of giving consent, which means they understand the information given to them and can use it to make an informed decision</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The mandate itself vitiates valid informed consent because “Duress, whatever form it takes, is a coercion of the will so as to vitiate consent.” Hirani v Hirani [1982] EWCA Civ 1.</w:t>
      </w:r>
      <w:r w:rsidDel="00000000" w:rsidR="00000000" w:rsidRPr="00000000">
        <w:rPr>
          <w:vertAlign w:val="superscript"/>
        </w:rPr>
        <w:footnoteReference w:customMarkFollows="0" w:id="24"/>
      </w: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The leading case on the nature of informed consent is Montgomery v Lanarkshire Health Board [2015] UKSC 11</w:t>
      </w:r>
      <w:r w:rsidDel="00000000" w:rsidR="00000000" w:rsidRPr="00000000">
        <w:rPr>
          <w:vertAlign w:val="superscript"/>
        </w:rPr>
        <w:footnoteReference w:customMarkFollows="0" w:id="25"/>
      </w:r>
      <w:r w:rsidDel="00000000" w:rsidR="00000000" w:rsidRPr="00000000">
        <w:rPr>
          <w:rtl w:val="0"/>
        </w:rPr>
        <w:t xml:space="preserve">, whether the Supreme Court confirmed that material risk should be disclosed and understood if a reasonable person in the patient’s position would be likely to attach significance to the risk, or if the doctor is or should reasonably be aware that the particular patient would be likely to attach significance to it.</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A more exacting test of informed consent is also required in this case due to the vaccines having emergency authorisation, with clinical trials remaining incomplete. This engages the standards set out in The Medicines for Human Use (Clinical Trials) Regulations 2004 [the Trial Regulations].</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s.1 of Part 1 of Schedule 2 of the Trial Regulations confirms that a person like me who has capacity can only, as with any medical treatment, participate in a trial if they have given informed consent. Conditions and principles specified in Part 3 apply to competent people such as myself, as follows:</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numPr>
          <w:ilvl w:val="0"/>
          <w:numId w:val="6"/>
        </w:numPr>
        <w:ind w:left="720" w:hanging="360"/>
        <w:rPr>
          <w:u w:val="none"/>
        </w:rPr>
      </w:pPr>
      <w:r w:rsidDel="00000000" w:rsidR="00000000" w:rsidRPr="00000000">
        <w:rPr>
          <w:rtl w:val="0"/>
        </w:rPr>
        <w:t xml:space="preserve">The subject has had an interview with the investigator, or another member of the investigating team, in which he has been given the opportunity to understand the objectives, risks, and inconveniences of the trial and the conditions under which it is to be conducted.</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numPr>
          <w:ilvl w:val="0"/>
          <w:numId w:val="6"/>
        </w:numPr>
        <w:ind w:left="720" w:hanging="360"/>
        <w:rPr>
          <w:u w:val="none"/>
        </w:rPr>
      </w:pPr>
      <w:r w:rsidDel="00000000" w:rsidR="00000000" w:rsidRPr="00000000">
        <w:rPr>
          <w:rtl w:val="0"/>
        </w:rPr>
        <w:t xml:space="preserve">The subject has been informed of his right to withdraw from the trial at any time.</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numPr>
          <w:ilvl w:val="0"/>
          <w:numId w:val="6"/>
        </w:numPr>
        <w:ind w:left="720" w:hanging="360"/>
        <w:rPr>
          <w:u w:val="none"/>
        </w:rPr>
      </w:pPr>
      <w:r w:rsidDel="00000000" w:rsidR="00000000" w:rsidRPr="00000000">
        <w:rPr>
          <w:rtl w:val="0"/>
        </w:rPr>
        <w:t xml:space="preserve">The subject has given his informed consent to taking part in the trial.</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numPr>
          <w:ilvl w:val="0"/>
          <w:numId w:val="6"/>
        </w:numPr>
        <w:ind w:left="720" w:hanging="360"/>
        <w:rPr>
          <w:u w:val="none"/>
        </w:rPr>
      </w:pPr>
      <w:r w:rsidDel="00000000" w:rsidR="00000000" w:rsidRPr="00000000">
        <w:rPr>
          <w:rtl w:val="0"/>
        </w:rPr>
        <w:t xml:space="preserve">The subject may, without being subject to any resulting detriment, withdraw from the clinical trial at any time by revoking his informed consent.</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numPr>
          <w:ilvl w:val="0"/>
          <w:numId w:val="6"/>
        </w:numPr>
        <w:ind w:left="720" w:hanging="360"/>
        <w:rPr>
          <w:u w:val="none"/>
        </w:rPr>
      </w:pPr>
      <w:r w:rsidDel="00000000" w:rsidR="00000000" w:rsidRPr="00000000">
        <w:rPr>
          <w:rtl w:val="0"/>
        </w:rPr>
        <w:t xml:space="preserve">The subject has been provided with a contact point where he may obtain further information about the trial.</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Part 2 applies to all clinical trials. It requires amongst other things that any clinical trial be conducted in accordance with the ethical principles that have their origin in the Declaration of Helsinki</w:t>
      </w:r>
      <w:r w:rsidDel="00000000" w:rsidR="00000000" w:rsidRPr="00000000">
        <w:rPr>
          <w:vertAlign w:val="superscript"/>
        </w:rPr>
        <w:footnoteReference w:customMarkFollows="0" w:id="26"/>
      </w:r>
      <w:r w:rsidDel="00000000" w:rsidR="00000000" w:rsidRPr="00000000">
        <w:rPr>
          <w:rtl w:val="0"/>
        </w:rPr>
        <w:t xml:space="preserve"> </w:t>
      </w:r>
      <w:r w:rsidDel="00000000" w:rsidR="00000000" w:rsidRPr="00000000">
        <w:rPr>
          <w:vertAlign w:val="superscript"/>
        </w:rPr>
        <w:footnoteReference w:customMarkFollows="0" w:id="27"/>
      </w:r>
      <w:r w:rsidDel="00000000" w:rsidR="00000000" w:rsidRPr="00000000">
        <w:rPr>
          <w:rtl w:val="0"/>
        </w:rPr>
        <w:t xml:space="preserve">. This followed the UK adoption EU Directive 2001/20/EC that acknowledges the Declaration of Helsinki as the accepted basis for the conduct of clinical trials in humans to protect human rights and the dignity of the human being and with regards to data protection</w:t>
      </w:r>
      <w:r w:rsidDel="00000000" w:rsidR="00000000" w:rsidRPr="00000000">
        <w:rPr>
          <w:vertAlign w:val="superscript"/>
        </w:rPr>
        <w:footnoteReference w:customMarkFollows="0" w:id="28"/>
      </w:r>
      <w:r w:rsidDel="00000000" w:rsidR="00000000" w:rsidRPr="00000000">
        <w:rPr>
          <w:rtl w:val="0"/>
        </w:rPr>
        <w:t xml:space="preserve">. This requirement is also found in EU Directive 2005/28.</w:t>
      </w:r>
      <w:r w:rsidDel="00000000" w:rsidR="00000000" w:rsidRPr="00000000">
        <w:rPr>
          <w:vertAlign w:val="superscript"/>
        </w:rPr>
        <w:footnoteReference w:customMarkFollows="0" w:id="29"/>
      </w: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The declaration requires amongst other things that each potential subject must be adequately informed of the aims, methods, sources of funding, any possible conflicts of interest, institutional affiliations of the researchers, the anticipated benefits, and potential risk of the study and the discomfort it may entail, post study provisions, and any other relevant aspects of the study. s.16 requires that provision has been made for insurance or indemnity to cover the liability of the investigator and sponsor which may arise in relation to the clinical trial.</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Failure to comply with the conditions and principles in Schedule 1 of the 2004 Act cause a person involved in conducting a trial to commit the summary or indictable offence set out in s.48. Sentencing can include an unlimited fine, imprisonment for a term not exceeding two years or both. Whereas this may not apply directly in the case of emergency use of the experimental treatment outside of a clinical trial, the standards within the 2004 regulations will nonetheless assist the courts when applying the Bolam Test,</w:t>
      </w:r>
      <w:r w:rsidDel="00000000" w:rsidR="00000000" w:rsidRPr="00000000">
        <w:rPr>
          <w:vertAlign w:val="superscript"/>
        </w:rPr>
        <w:footnoteReference w:customMarkFollows="0" w:id="30"/>
      </w:r>
      <w:r w:rsidDel="00000000" w:rsidR="00000000" w:rsidRPr="00000000">
        <w:rPr>
          <w:rtl w:val="0"/>
        </w:rPr>
        <w:t xml:space="preserve"> regarding whether valid informed consent has been obtained and with regards to sentencing.</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The Council of Europe, who are responsible for the European Convention and Court of Human Rights, have confirmed that human rights are engaged regarding COVID-19 vaccinations. In resolution 2361 (2021),</w:t>
      </w:r>
      <w:r w:rsidDel="00000000" w:rsidR="00000000" w:rsidRPr="00000000">
        <w:rPr>
          <w:vertAlign w:val="superscript"/>
        </w:rPr>
        <w:footnoteReference w:customMarkFollows="0" w:id="31"/>
      </w:r>
      <w:r w:rsidDel="00000000" w:rsidR="00000000" w:rsidRPr="00000000">
        <w:rPr>
          <w:rtl w:val="0"/>
        </w:rPr>
        <w:t xml:space="preserve"> the Council “urged member States to”:</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ab/>
        <w:t xml:space="preserve">7.3.1 ensure that citizens are informed that the vaccination is not mandatory and that </w:t>
        <w:tab/>
        <w:t xml:space="preserve">no one is under political, social, or other pressure to be vaccinated if they do not wish </w:t>
        <w:tab/>
        <w:t xml:space="preserve">to do so,”</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ab/>
        <w:t xml:space="preserve">7.3.2 “ensure that no one is discriminated against for not having been vaccinated, </w:t>
        <w:tab/>
        <w:t xml:space="preserve">due to possible health risks or not wanting to be vaccinated”</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Section 6(1) of the Human Rights Act (1998) </w:t>
      </w:r>
      <w:r w:rsidDel="00000000" w:rsidR="00000000" w:rsidRPr="00000000">
        <w:rPr>
          <w:vertAlign w:val="superscript"/>
        </w:rPr>
        <w:footnoteReference w:customMarkFollows="0" w:id="32"/>
      </w:r>
      <w:r w:rsidDel="00000000" w:rsidR="00000000" w:rsidRPr="00000000">
        <w:rPr>
          <w:rtl w:val="0"/>
        </w:rPr>
        <w:t xml:space="preserve">provides that “it is unlawful for a public authority to act in a way which is incompatible with a Convention right.” The articles which are engaged are 2, 3, 8, 9, 12, and 14. There are also no derogations or reservations for any emergency in the UK because Article 15 ECHR was not incorporated into the 1998 Human Rights Act.</w:t>
      </w:r>
      <w:r w:rsidDel="00000000" w:rsidR="00000000" w:rsidRPr="00000000">
        <w:rPr>
          <w:vertAlign w:val="superscript"/>
        </w:rPr>
        <w:footnoteReference w:customMarkFollows="0" w:id="33"/>
      </w: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The Regulations have been created using powers that include s.161(4)(b) of Health and Social Care Act 2008.</w:t>
      </w:r>
      <w:r w:rsidDel="00000000" w:rsidR="00000000" w:rsidRPr="00000000">
        <w:rPr>
          <w:vertAlign w:val="superscript"/>
        </w:rPr>
        <w:footnoteReference w:customMarkFollows="0" w:id="34"/>
      </w:r>
      <w:r w:rsidDel="00000000" w:rsidR="00000000" w:rsidRPr="00000000">
        <w:rPr>
          <w:rtl w:val="0"/>
        </w:rPr>
        <w:t xml:space="preserve"> This empowers the Secretary of State when making regulations “to provide for a person to exercise a discretion in dealing with any matter.” In this respect, your consideration of vaccine status and exemption is a discretionary administrative function.</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Furthermore, they have also attempted to use use Section 45 (b) and 45 (c) of the Public Health (Control of Diseases) [PH regulations] Act 1984</w:t>
      </w:r>
      <w:r w:rsidDel="00000000" w:rsidR="00000000" w:rsidRPr="00000000">
        <w:rPr>
          <w:vertAlign w:val="superscript"/>
        </w:rPr>
        <w:footnoteReference w:customMarkFollows="0" w:id="35"/>
      </w:r>
      <w:r w:rsidDel="00000000" w:rsidR="00000000" w:rsidRPr="00000000">
        <w:rPr>
          <w:rtl w:val="0"/>
        </w:rPr>
        <w:t xml:space="preserve"> in order to mandate the Covid-19 vaccination for care home and NHS workers. Section 45 (b) and 45 (c) allow the health minister to create regulations or mandates for reasons of “public health”, however, p.1 of Section 45 (e) of the PH regulations states that </w:t>
      </w:r>
      <w:r w:rsidDel="00000000" w:rsidR="00000000" w:rsidRPr="00000000">
        <w:rPr>
          <w:i w:val="1"/>
          <w:rtl w:val="0"/>
        </w:rPr>
        <w:t xml:space="preserve">“Regulations under section 45B or 45C may not include provisions requiring a person to undergo medical treatment,”</w:t>
      </w:r>
      <w:r w:rsidDel="00000000" w:rsidR="00000000" w:rsidRPr="00000000">
        <w:rPr>
          <w:rtl w:val="0"/>
        </w:rPr>
        <w:t xml:space="preserve"> with p.2 of section 45 (e) of the PH regulations narrowing the scope of the definition of “medical treatment” to directly including </w:t>
      </w:r>
      <w:r w:rsidDel="00000000" w:rsidR="00000000" w:rsidRPr="00000000">
        <w:rPr>
          <w:i w:val="1"/>
          <w:rtl w:val="0"/>
        </w:rPr>
        <w:t xml:space="preserve">“vaccination”</w:t>
      </w:r>
      <w:r w:rsidDel="00000000" w:rsidR="00000000" w:rsidRPr="00000000">
        <w:rPr>
          <w:rtl w:val="0"/>
        </w:rPr>
        <w:t xml:space="preserve">.</w:t>
      </w:r>
      <w:r w:rsidDel="00000000" w:rsidR="00000000" w:rsidRPr="00000000">
        <w:rPr>
          <w:vertAlign w:val="superscript"/>
        </w:rPr>
        <w:footnoteReference w:customMarkFollows="0" w:id="36"/>
      </w: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The courts normally have limited ability to challenge discretionary administrative decisions that are “Wednesbury Reasonable” as follows:</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i w:val="1"/>
        </w:rPr>
      </w:pPr>
      <w:r w:rsidDel="00000000" w:rsidR="00000000" w:rsidRPr="00000000">
        <w:rPr>
          <w:i w:val="1"/>
          <w:rtl w:val="0"/>
        </w:rPr>
        <w:t xml:space="preserve">“He must call his own attention to the matter which he is bound to consider. He must exclude from his consideration matters which are irrelevant to what he has to consider. If he does not obey those rules, he may truly be said, and often is said, to be acting ‘unreasonably.’ Similarly, there may be something so absurd that no sensible person could ever dream that it lay within the powers of the authority.”</w:t>
      </w:r>
      <w:r w:rsidDel="00000000" w:rsidR="00000000" w:rsidRPr="00000000">
        <w:rPr>
          <w:i w:val="1"/>
          <w:vertAlign w:val="superscript"/>
        </w:rPr>
        <w:footnoteReference w:customMarkFollows="0" w:id="37"/>
      </w:r>
      <w:r w:rsidDel="00000000" w:rsidR="00000000" w:rsidRPr="00000000">
        <w:rPr>
          <w:rtl w:val="0"/>
        </w:rPr>
      </w:r>
    </w:p>
    <w:p w:rsidR="00000000" w:rsidDel="00000000" w:rsidP="00000000" w:rsidRDefault="00000000" w:rsidRPr="00000000" w14:paraId="000000E1">
      <w:pPr>
        <w:rPr>
          <w:i w:val="1"/>
        </w:rPr>
      </w:pPr>
      <w:r w:rsidDel="00000000" w:rsidR="00000000" w:rsidRPr="00000000">
        <w:rPr>
          <w:rtl w:val="0"/>
        </w:rPr>
      </w:r>
    </w:p>
    <w:p w:rsidR="00000000" w:rsidDel="00000000" w:rsidP="00000000" w:rsidRDefault="00000000" w:rsidRPr="00000000" w14:paraId="000000E2">
      <w:pPr>
        <w:rPr>
          <w:i w:val="1"/>
        </w:rPr>
      </w:pPr>
      <w:r w:rsidDel="00000000" w:rsidR="00000000" w:rsidRPr="00000000">
        <w:rPr>
          <w:i w:val="1"/>
          <w:rtl w:val="0"/>
        </w:rPr>
        <w:t xml:space="preserve">“A decision cannot be so unreasonable that it might almost be described as being done in bad faith.”</w:t>
      </w:r>
      <w:r w:rsidDel="00000000" w:rsidR="00000000" w:rsidRPr="00000000">
        <w:rPr>
          <w:i w:val="1"/>
          <w:vertAlign w:val="superscript"/>
        </w:rPr>
        <w:footnoteReference w:customMarkFollows="0" w:id="38"/>
      </w:r>
      <w:r w:rsidDel="00000000" w:rsidR="00000000" w:rsidRPr="00000000">
        <w:rPr>
          <w:rtl w:val="0"/>
        </w:rPr>
      </w:r>
    </w:p>
    <w:p w:rsidR="00000000" w:rsidDel="00000000" w:rsidP="00000000" w:rsidRDefault="00000000" w:rsidRPr="00000000" w14:paraId="000000E3">
      <w:pPr>
        <w:rPr>
          <w:i w:val="1"/>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However, where an individual’s civil rights are engaged by an administrative decision, the standard of review is more exacting; more is required from the decision-maker “by way of justification”, known as the “sub-Wednesbury” standard</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The principle was established in R Bugdaycay v Secretary of State [1987] AC 514</w:t>
      </w:r>
      <w:r w:rsidDel="00000000" w:rsidR="00000000" w:rsidRPr="00000000">
        <w:rPr>
          <w:vertAlign w:val="superscript"/>
        </w:rPr>
        <w:footnoteReference w:customMarkFollows="0" w:id="39"/>
      </w:r>
      <w:r w:rsidDel="00000000" w:rsidR="00000000" w:rsidRPr="00000000">
        <w:rPr>
          <w:rtl w:val="0"/>
        </w:rPr>
        <w:t xml:space="preserve"> and R v Secretary of State ex parte Brind [1991] 1 AC 69c</w:t>
      </w:r>
      <w:r w:rsidDel="00000000" w:rsidR="00000000" w:rsidRPr="00000000">
        <w:rPr>
          <w:vertAlign w:val="superscript"/>
        </w:rPr>
        <w:footnoteReference w:customMarkFollows="0" w:id="40"/>
      </w:r>
      <w:r w:rsidDel="00000000" w:rsidR="00000000" w:rsidRPr="00000000">
        <w:rPr>
          <w:rtl w:val="0"/>
        </w:rPr>
        <w:t xml:space="preserve"> with Mr David Pannick QC distilling the principles in R v Ministry of Defence Ex p. Smith</w:t>
      </w:r>
      <w:r w:rsidDel="00000000" w:rsidR="00000000" w:rsidRPr="00000000">
        <w:rPr>
          <w:vertAlign w:val="superscript"/>
        </w:rPr>
        <w:footnoteReference w:customMarkFollows="0" w:id="41"/>
      </w:r>
      <w:r w:rsidDel="00000000" w:rsidR="00000000" w:rsidRPr="00000000">
        <w:rPr>
          <w:rtl w:val="0"/>
        </w:rPr>
        <w:t xml:space="preserve"> as follows:</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i w:val="1"/>
        </w:rPr>
      </w:pPr>
      <w:r w:rsidDel="00000000" w:rsidR="00000000" w:rsidRPr="00000000">
        <w:rPr>
          <w:i w:val="1"/>
          <w:rtl w:val="0"/>
        </w:rPr>
        <w:t xml:space="preserve">“The court may not interfere with the exercise of an administrative discretion on substantive grounds save where the court is satisfied that the decision is unreasonable in the sense that it is beyond the range of responses open to a reasonable decision-maker. But in judging whether the decision-maker has exceeded the margin of appreciation the human rights context is important. The more substantial the interference with human rights, the more the court will require by way of justification before it is satisfied that the decision is reasonable in the sense outlined above.”</w:t>
      </w:r>
    </w:p>
    <w:p w:rsidR="00000000" w:rsidDel="00000000" w:rsidP="00000000" w:rsidRDefault="00000000" w:rsidRPr="00000000" w14:paraId="000000E9">
      <w:pPr>
        <w:rPr>
          <w:i w:val="1"/>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For a person to be capable of providing informed consent, they would need to understand the vaccine’s mode of action, its experimental nature, its known effects and potential known and unknown risks.</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UK Government’s Vaccine Green Book,</w:t>
      </w:r>
      <w:r w:rsidDel="00000000" w:rsidR="00000000" w:rsidRPr="00000000">
        <w:rPr>
          <w:vertAlign w:val="superscript"/>
        </w:rPr>
        <w:footnoteReference w:customMarkFollows="0" w:id="42"/>
      </w:r>
      <w:r w:rsidDel="00000000" w:rsidR="00000000" w:rsidRPr="00000000">
        <w:rPr>
          <w:rtl w:val="0"/>
        </w:rPr>
        <w:t xml:space="preserve"> Chapter 14a states that:</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i w:val="1"/>
        </w:rPr>
      </w:pPr>
      <w:r w:rsidDel="00000000" w:rsidR="00000000" w:rsidRPr="00000000">
        <w:rPr>
          <w:i w:val="1"/>
          <w:rtl w:val="0"/>
        </w:rPr>
        <w:t xml:space="preserve">“The Pfizer BioNTech and Modema COVID-19, Vaccines are nucleoside-modified messenger RNA (mRNA) vaccines, mRNA vaccines use the pathogen’s genetic code as the vaccine; this then exploits the host cells to translate the code and then make the target spike protein. The protein then acts as an intracellular antigen to stimulate the immune response. </w:t>
      </w:r>
    </w:p>
    <w:p w:rsidR="00000000" w:rsidDel="00000000" w:rsidP="00000000" w:rsidRDefault="00000000" w:rsidRPr="00000000" w14:paraId="000000EF">
      <w:pPr>
        <w:rPr>
          <w:i w:val="1"/>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These vaccines are therefore complex experimental gene therapies that many university faculty members will struggle to understand. The complex interactions that occur in such technology alongside the effects of diverse ingredients and the potential toxicity of the spike protein could explain the volument and severity of adverse events presently being reported to MHRA’s Yellow Card reporting system.</w:t>
      </w:r>
      <w:r w:rsidDel="00000000" w:rsidR="00000000" w:rsidRPr="00000000">
        <w:rPr>
          <w:vertAlign w:val="superscript"/>
        </w:rPr>
        <w:footnoteReference w:customMarkFollows="0" w:id="43"/>
      </w:r>
      <w:r w:rsidDel="00000000" w:rsidR="00000000" w:rsidRPr="00000000">
        <w:rPr>
          <w:rtl w:val="0"/>
        </w:rPr>
        <w:t xml:space="preserve"> Educational facilitators should also be made aware of the side effects being reported by the Yellow Card system. They should also understand that not all risks can be known at this stage of the clinical trials, in particular long-term effects.</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Alternative treatments must be discussed. For example, lifestyle changes related to obesity</w:t>
      </w:r>
      <w:r w:rsidDel="00000000" w:rsidR="00000000" w:rsidRPr="00000000">
        <w:rPr>
          <w:vertAlign w:val="superscript"/>
        </w:rPr>
        <w:footnoteReference w:customMarkFollows="0" w:id="44"/>
      </w:r>
      <w:r w:rsidDel="00000000" w:rsidR="00000000" w:rsidRPr="00000000">
        <w:rPr>
          <w:rtl w:val="0"/>
        </w:rPr>
        <w:t xml:space="preserve"> and vitamin D status</w:t>
      </w:r>
      <w:r w:rsidDel="00000000" w:rsidR="00000000" w:rsidRPr="00000000">
        <w:rPr>
          <w:vertAlign w:val="superscript"/>
        </w:rPr>
        <w:footnoteReference w:customMarkFollows="0" w:id="45"/>
      </w:r>
      <w:r w:rsidDel="00000000" w:rsidR="00000000" w:rsidRPr="00000000">
        <w:rPr>
          <w:rtl w:val="0"/>
        </w:rPr>
        <w:t xml:space="preserve"> as alternatives to vaccination in at risk groups. Other prophylactics and therapeutics treatments should also be discussed along with evaluation of all of the vaccines that are available.</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A person must be advised of what happens if the treatment does not go ahead. This required discussion of the very low risk of COVID-19 for anyone under the age of 65 who are not in one of the at-risk groups in table 3 of the Green Book and the zero percent case fatality rate for under 44’s in table 1.</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The guide states that </w:t>
      </w:r>
      <w:r w:rsidDel="00000000" w:rsidR="00000000" w:rsidRPr="00000000">
        <w:rPr>
          <w:i w:val="1"/>
          <w:rtl w:val="0"/>
        </w:rPr>
        <w:t xml:space="preserve">“outcomes from COVID-19 infection increases dramatically with age in both healthy adults and in adults with underlying health conditions. Those over the age of 65 years have by far the highest risk, and the risk increases with age.” </w:t>
      </w:r>
      <w:r w:rsidDel="00000000" w:rsidR="00000000" w:rsidRPr="00000000">
        <w:rPr>
          <w:rtl w:val="0"/>
        </w:rPr>
        <w:t xml:space="preserve">There is also only </w:t>
      </w:r>
      <w:r w:rsidDel="00000000" w:rsidR="00000000" w:rsidRPr="00000000">
        <w:rPr>
          <w:i w:val="1"/>
          <w:rtl w:val="0"/>
        </w:rPr>
        <w:t xml:space="preserve">“increasing evidence that vaccines prevent infection and transmission.” </w:t>
      </w:r>
      <w:r w:rsidDel="00000000" w:rsidR="00000000" w:rsidRPr="00000000">
        <w:rPr>
          <w:rtl w:val="0"/>
        </w:rPr>
        <w:t xml:space="preserve">according to Public Health England</w:t>
      </w:r>
      <w:r w:rsidDel="00000000" w:rsidR="00000000" w:rsidRPr="00000000">
        <w:rPr>
          <w:vertAlign w:val="superscript"/>
        </w:rPr>
        <w:footnoteReference w:customMarkFollows="0" w:id="46"/>
      </w:r>
      <w:r w:rsidDel="00000000" w:rsidR="00000000" w:rsidRPr="00000000">
        <w:rPr>
          <w:rtl w:val="0"/>
        </w:rPr>
        <w:t xml:space="preserve"> and so education facilitators should not be misinformed that vaccination guarantees protection for “vulnerable patients”.</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t xml:space="preserve">Educational facilities also ought to be made aware that COVID-19 has been downgraded from High Consequence Infectious Disease (HCID) status since 19/03/20 by the 4 nations public health HCID group. They determined that several features had changed; in particular, more information being available about mortality rates (low overall), and that there is now greater clinical awareness and a specific and sensitive laboratory test, the availability of which continues to increase.</w:t>
      </w:r>
      <w:r w:rsidDel="00000000" w:rsidR="00000000" w:rsidRPr="00000000">
        <w:rPr>
          <w:vertAlign w:val="superscript"/>
        </w:rPr>
        <w:footnoteReference w:customMarkFollows="0" w:id="47"/>
      </w:r>
      <w:r w:rsidDel="00000000" w:rsidR="00000000" w:rsidRPr="00000000">
        <w:rPr>
          <w:rtl w:val="0"/>
        </w:rPr>
        <w:t xml:space="preserve"> The Advisory Committee on Dangerous Pathogens (ACDP)</w:t>
      </w:r>
      <w:r w:rsidDel="00000000" w:rsidR="00000000" w:rsidRPr="00000000">
        <w:rPr>
          <w:vertAlign w:val="superscript"/>
        </w:rPr>
        <w:footnoteReference w:customMarkFollows="0" w:id="48"/>
      </w:r>
      <w:r w:rsidDel="00000000" w:rsidR="00000000" w:rsidRPr="00000000">
        <w:rPr>
          <w:rtl w:val="0"/>
        </w:rPr>
        <w:t xml:space="preserve"> was also of the unanimous opinion that COVID-19 should no longer be classified as an HCID.</w:t>
      </w:r>
      <w:r w:rsidDel="00000000" w:rsidR="00000000" w:rsidRPr="00000000">
        <w:rPr>
          <w:vertAlign w:val="superscript"/>
        </w:rPr>
        <w:footnoteReference w:customMarkFollows="0" w:id="49"/>
      </w: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Violating bodily integrity and valid informed consent with trespass to the person has consequences. In R Wilkinson v Broadmoor [2001] EWCA Civ 1545, </w:t>
      </w:r>
      <w:r w:rsidDel="00000000" w:rsidR="00000000" w:rsidRPr="00000000">
        <w:rPr>
          <w:vertAlign w:val="superscript"/>
        </w:rPr>
        <w:footnoteReference w:customMarkFollows="0" w:id="50"/>
      </w:r>
      <w:r w:rsidDel="00000000" w:rsidR="00000000" w:rsidRPr="00000000">
        <w:rPr>
          <w:rtl w:val="0"/>
        </w:rPr>
        <w:t xml:space="preserve">Lady Justice Jale stated with regards to medical intervention, in this case forcibly injecting the sectioned plaintiff with antipsychotic drugs, that;</w:t>
      </w:r>
    </w:p>
    <w:p w:rsidR="00000000" w:rsidDel="00000000" w:rsidP="00000000" w:rsidRDefault="00000000" w:rsidRPr="00000000" w14:paraId="000000FB">
      <w:pPr>
        <w:ind w:left="0" w:firstLine="0"/>
        <w:rPr/>
      </w:pPr>
      <w:r w:rsidDel="00000000" w:rsidR="00000000" w:rsidRPr="00000000">
        <w:rPr>
          <w:rtl w:val="0"/>
        </w:rPr>
      </w:r>
    </w:p>
    <w:p w:rsidR="00000000" w:rsidDel="00000000" w:rsidP="00000000" w:rsidRDefault="00000000" w:rsidRPr="00000000" w14:paraId="000000FC">
      <w:pPr>
        <w:ind w:left="0" w:firstLine="0"/>
        <w:rPr>
          <w:i w:val="1"/>
        </w:rPr>
      </w:pPr>
      <w:r w:rsidDel="00000000" w:rsidR="00000000" w:rsidRPr="00000000">
        <w:rPr>
          <w:i w:val="1"/>
          <w:rtl w:val="0"/>
        </w:rPr>
        <w:t xml:space="preserve">“The people who carry out such assaults, and in particular the responsible medical officer who requires it to be done, may be sued in the ordinary way for the tort of battery. The fact that those responsible are exercising statutory powers makes no offence.”</w:t>
      </w:r>
    </w:p>
    <w:p w:rsidR="00000000" w:rsidDel="00000000" w:rsidP="00000000" w:rsidRDefault="00000000" w:rsidRPr="00000000" w14:paraId="000000FD">
      <w:pPr>
        <w:ind w:left="0" w:firstLine="0"/>
        <w:rPr>
          <w:i w:val="1"/>
        </w:rPr>
      </w:pPr>
      <w:r w:rsidDel="00000000" w:rsidR="00000000" w:rsidRPr="00000000">
        <w:rPr>
          <w:rtl w:val="0"/>
        </w:rPr>
      </w:r>
    </w:p>
    <w:p w:rsidR="00000000" w:rsidDel="00000000" w:rsidP="00000000" w:rsidRDefault="00000000" w:rsidRPr="00000000" w14:paraId="000000FE">
      <w:pPr>
        <w:ind w:left="0" w:firstLine="0"/>
        <w:rPr/>
      </w:pPr>
      <w:r w:rsidDel="00000000" w:rsidR="00000000" w:rsidRPr="00000000">
        <w:rPr>
          <w:rtl w:val="0"/>
        </w:rPr>
        <w:t xml:space="preserve">Lord Keith of Kinkel stated in Airedale N.H.S Trust v Bland [1993] AC 789</w:t>
      </w:r>
      <w:r w:rsidDel="00000000" w:rsidR="00000000" w:rsidRPr="00000000">
        <w:rPr>
          <w:vertAlign w:val="superscript"/>
        </w:rPr>
        <w:footnoteReference w:customMarkFollows="0" w:id="51"/>
      </w:r>
      <w:r w:rsidDel="00000000" w:rsidR="00000000" w:rsidRPr="00000000">
        <w:rPr>
          <w:rtl w:val="0"/>
        </w:rPr>
        <w:t xml:space="preserve">, citing F. (Mental Patient: Sterilisation) [1990] 2 AC 1</w:t>
      </w:r>
      <w:r w:rsidDel="00000000" w:rsidR="00000000" w:rsidRPr="00000000">
        <w:rPr>
          <w:vertAlign w:val="superscript"/>
        </w:rPr>
        <w:footnoteReference w:customMarkFollows="0" w:id="52"/>
      </w:r>
      <w:r w:rsidDel="00000000" w:rsidR="00000000" w:rsidRPr="00000000">
        <w:rPr>
          <w:rtl w:val="0"/>
        </w:rPr>
        <w:t xml:space="preserve"> that:</w:t>
      </w:r>
    </w:p>
    <w:p w:rsidR="00000000" w:rsidDel="00000000" w:rsidP="00000000" w:rsidRDefault="00000000" w:rsidRPr="00000000" w14:paraId="000000FF">
      <w:pPr>
        <w:ind w:left="0" w:firstLine="0"/>
        <w:rPr/>
      </w:pPr>
      <w:r w:rsidDel="00000000" w:rsidR="00000000" w:rsidRPr="00000000">
        <w:rPr>
          <w:rtl w:val="0"/>
        </w:rPr>
      </w:r>
    </w:p>
    <w:p w:rsidR="00000000" w:rsidDel="00000000" w:rsidP="00000000" w:rsidRDefault="00000000" w:rsidRPr="00000000" w14:paraId="00000100">
      <w:pPr>
        <w:ind w:left="0" w:firstLine="0"/>
        <w:rPr>
          <w:i w:val="1"/>
        </w:rPr>
      </w:pPr>
      <w:r w:rsidDel="00000000" w:rsidR="00000000" w:rsidRPr="00000000">
        <w:rPr>
          <w:i w:val="1"/>
          <w:rtl w:val="0"/>
        </w:rPr>
        <w:t xml:space="preserve">“It is unlawful, so as to constitute both a tort and the crime of battery, to administer medical treatment to an adult, who is conscious and sound of mind, without his consent. Such a person is completely at liberty to decline to undergo treatment, even if the result of doing so will cause death”.</w:t>
      </w:r>
    </w:p>
    <w:p w:rsidR="00000000" w:rsidDel="00000000" w:rsidP="00000000" w:rsidRDefault="00000000" w:rsidRPr="00000000" w14:paraId="00000101">
      <w:pPr>
        <w:ind w:left="0" w:firstLine="0"/>
        <w:rPr>
          <w:i w:val="1"/>
        </w:rPr>
      </w:pPr>
      <w:r w:rsidDel="00000000" w:rsidR="00000000" w:rsidRPr="00000000">
        <w:rPr>
          <w:rtl w:val="0"/>
        </w:rPr>
      </w:r>
    </w:p>
    <w:p w:rsidR="00000000" w:rsidDel="00000000" w:rsidP="00000000" w:rsidRDefault="00000000" w:rsidRPr="00000000" w14:paraId="00000102">
      <w:pPr>
        <w:ind w:left="0" w:firstLine="0"/>
        <w:rPr/>
      </w:pPr>
      <w:r w:rsidDel="00000000" w:rsidR="00000000" w:rsidRPr="00000000">
        <w:rPr>
          <w:rtl w:val="0"/>
        </w:rPr>
        <w:t xml:space="preserve">In Sidaway vs Bethlem [1985] AC 871</w:t>
      </w:r>
      <w:r w:rsidDel="00000000" w:rsidR="00000000" w:rsidRPr="00000000">
        <w:rPr>
          <w:vertAlign w:val="superscript"/>
        </w:rPr>
        <w:footnoteReference w:customMarkFollows="0" w:id="53"/>
      </w:r>
      <w:r w:rsidDel="00000000" w:rsidR="00000000" w:rsidRPr="00000000">
        <w:rPr>
          <w:rtl w:val="0"/>
        </w:rPr>
        <w:t xml:space="preserve"> the Court of Appeal held that:</w:t>
      </w:r>
    </w:p>
    <w:p w:rsidR="00000000" w:rsidDel="00000000" w:rsidP="00000000" w:rsidRDefault="00000000" w:rsidRPr="00000000" w14:paraId="00000103">
      <w:pPr>
        <w:ind w:left="0" w:firstLine="0"/>
        <w:rPr>
          <w:i w:val="1"/>
        </w:rPr>
      </w:pPr>
      <w:r w:rsidDel="00000000" w:rsidR="00000000" w:rsidRPr="00000000">
        <w:rPr>
          <w:i w:val="1"/>
          <w:rtl w:val="0"/>
        </w:rPr>
        <w:t xml:space="preserve">“A mentally competent patient has an absolute right to refuse to consent to medical treatment for any reason, rational or irrational, or for no reason at all, even where that decision may lead to his or her own death.”</w:t>
      </w:r>
    </w:p>
    <w:p w:rsidR="00000000" w:rsidDel="00000000" w:rsidP="00000000" w:rsidRDefault="00000000" w:rsidRPr="00000000" w14:paraId="00000104">
      <w:pPr>
        <w:ind w:left="0" w:firstLine="0"/>
        <w:rPr>
          <w:i w:val="1"/>
        </w:rPr>
      </w:pPr>
      <w:r w:rsidDel="00000000" w:rsidR="00000000" w:rsidRPr="00000000">
        <w:rPr>
          <w:rtl w:val="0"/>
        </w:rPr>
      </w:r>
    </w:p>
    <w:p w:rsidR="00000000" w:rsidDel="00000000" w:rsidP="00000000" w:rsidRDefault="00000000" w:rsidRPr="00000000" w14:paraId="00000105">
      <w:pPr>
        <w:ind w:left="0" w:firstLine="0"/>
        <w:rPr/>
      </w:pPr>
      <w:r w:rsidDel="00000000" w:rsidR="00000000" w:rsidRPr="00000000">
        <w:rPr>
          <w:rtl w:val="0"/>
        </w:rPr>
        <w:t xml:space="preserve">The right to valid informed consent can also survive the loss of capacity.</w:t>
      </w:r>
    </w:p>
    <w:p w:rsidR="00000000" w:rsidDel="00000000" w:rsidP="00000000" w:rsidRDefault="00000000" w:rsidRPr="00000000" w14:paraId="00000106">
      <w:pPr>
        <w:ind w:left="0" w:firstLine="0"/>
        <w:rPr/>
      </w:pPr>
      <w:r w:rsidDel="00000000" w:rsidR="00000000" w:rsidRPr="00000000">
        <w:rPr>
          <w:rtl w:val="0"/>
        </w:rPr>
      </w:r>
    </w:p>
    <w:p w:rsidR="00000000" w:rsidDel="00000000" w:rsidP="00000000" w:rsidRDefault="00000000" w:rsidRPr="00000000" w14:paraId="00000107">
      <w:pPr>
        <w:ind w:left="0" w:firstLine="0"/>
        <w:rPr/>
      </w:pPr>
      <w:r w:rsidDel="00000000" w:rsidR="00000000" w:rsidRPr="00000000">
        <w:rPr>
          <w:rtl w:val="0"/>
        </w:rPr>
        <w:t xml:space="preserve">In a recent ruling by the Court of Protection, SS v Richmond [2021] EWCOP 31,</w:t>
      </w:r>
      <w:r w:rsidDel="00000000" w:rsidR="00000000" w:rsidRPr="00000000">
        <w:rPr>
          <w:vertAlign w:val="superscript"/>
        </w:rPr>
        <w:footnoteReference w:customMarkFollows="0" w:id="54"/>
      </w:r>
      <w:r w:rsidDel="00000000" w:rsidR="00000000" w:rsidRPr="00000000">
        <w:rPr>
          <w:rtl w:val="0"/>
        </w:rPr>
        <w:t xml:space="preserve"> it was found that a dementia patient who lacked capacity but who previously objected to vaccination could not be forcibly treated with a COVID-19 vaccine.</w:t>
      </w:r>
    </w:p>
    <w:p w:rsidR="00000000" w:rsidDel="00000000" w:rsidP="00000000" w:rsidRDefault="00000000" w:rsidRPr="00000000" w14:paraId="00000108">
      <w:pPr>
        <w:ind w:left="0" w:firstLine="0"/>
        <w:rPr/>
      </w:pPr>
      <w:r w:rsidDel="00000000" w:rsidR="00000000" w:rsidRPr="00000000">
        <w:rPr>
          <w:rtl w:val="0"/>
        </w:rPr>
      </w:r>
    </w:p>
    <w:p w:rsidR="00000000" w:rsidDel="00000000" w:rsidP="00000000" w:rsidRDefault="00000000" w:rsidRPr="00000000" w14:paraId="00000109">
      <w:pPr>
        <w:ind w:left="0" w:firstLine="0"/>
        <w:rPr/>
      </w:pPr>
      <w:r w:rsidDel="00000000" w:rsidR="00000000" w:rsidRPr="00000000">
        <w:rPr>
          <w:rtl w:val="0"/>
        </w:rPr>
        <w:t xml:space="preserve">In Chester v Afshar [2004] UKHL 41 </w:t>
      </w:r>
      <w:r w:rsidDel="00000000" w:rsidR="00000000" w:rsidRPr="00000000">
        <w:rPr>
          <w:vertAlign w:val="superscript"/>
        </w:rPr>
        <w:footnoteReference w:customMarkFollows="0" w:id="55"/>
      </w:r>
      <w:r w:rsidDel="00000000" w:rsidR="00000000" w:rsidRPr="00000000">
        <w:rPr>
          <w:rtl w:val="0"/>
        </w:rPr>
        <w:t xml:space="preserve">the House of Lords decided that a doctor’s failure to fully inform a patient of all surgery risks vitiated the need to show that harm would have been caused by the failure to inform. Battery is actionable without physical harm being shown.</w:t>
      </w:r>
    </w:p>
    <w:p w:rsidR="00000000" w:rsidDel="00000000" w:rsidP="00000000" w:rsidRDefault="00000000" w:rsidRPr="00000000" w14:paraId="0000010A">
      <w:pPr>
        <w:ind w:left="0" w:firstLine="0"/>
        <w:rPr/>
      </w:pPr>
      <w:r w:rsidDel="00000000" w:rsidR="00000000" w:rsidRPr="00000000">
        <w:rPr>
          <w:rtl w:val="0"/>
        </w:rPr>
      </w:r>
    </w:p>
    <w:p w:rsidR="00000000" w:rsidDel="00000000" w:rsidP="00000000" w:rsidRDefault="00000000" w:rsidRPr="00000000" w14:paraId="0000010B">
      <w:pPr>
        <w:ind w:left="0" w:firstLine="0"/>
        <w:rPr/>
      </w:pPr>
      <w:r w:rsidDel="00000000" w:rsidR="00000000" w:rsidRPr="00000000">
        <w:rPr>
          <w:rtl w:val="0"/>
        </w:rPr>
        <w:t xml:space="preserve">The principle of valid informed consent and bodily integrity is found in all common law jurisdictions due to it originating from ancient fundamental rights relating to trespass to the person. This can be tracked all the way back to the earliest known written English laws, the 7th century Kentish laws of King Æthelbert </w:t>
      </w:r>
      <w:r w:rsidDel="00000000" w:rsidR="00000000" w:rsidRPr="00000000">
        <w:rPr>
          <w:vertAlign w:val="superscript"/>
        </w:rPr>
        <w:footnoteReference w:customMarkFollows="0" w:id="56"/>
      </w:r>
      <w:r w:rsidDel="00000000" w:rsidR="00000000" w:rsidRPr="00000000">
        <w:rPr>
          <w:rtl w:val="0"/>
        </w:rPr>
        <w:t xml:space="preserve">that amongst other things classified and recommended civil penalties for various types of battery to provide an alternative to feuds.</w:t>
      </w:r>
    </w:p>
    <w:p w:rsidR="00000000" w:rsidDel="00000000" w:rsidP="00000000" w:rsidRDefault="00000000" w:rsidRPr="00000000" w14:paraId="0000010C">
      <w:pPr>
        <w:ind w:left="0" w:firstLine="0"/>
        <w:rPr/>
      </w:pPr>
      <w:r w:rsidDel="00000000" w:rsidR="00000000" w:rsidRPr="00000000">
        <w:rPr>
          <w:rtl w:val="0"/>
        </w:rPr>
      </w:r>
    </w:p>
    <w:p w:rsidR="00000000" w:rsidDel="00000000" w:rsidP="00000000" w:rsidRDefault="00000000" w:rsidRPr="00000000" w14:paraId="0000010D">
      <w:pPr>
        <w:ind w:left="0" w:firstLine="0"/>
        <w:rPr/>
      </w:pPr>
      <w:r w:rsidDel="00000000" w:rsidR="00000000" w:rsidRPr="00000000">
        <w:rPr>
          <w:rtl w:val="0"/>
        </w:rPr>
        <w:t xml:space="preserve">In Cardozo J in Schloendorff v Society of New York Hospital 105 NE 92 (NY, 1914)</w:t>
      </w:r>
      <w:r w:rsidDel="00000000" w:rsidR="00000000" w:rsidRPr="00000000">
        <w:rPr>
          <w:vertAlign w:val="superscript"/>
        </w:rPr>
        <w:footnoteReference w:customMarkFollows="0" w:id="57"/>
      </w:r>
      <w:r w:rsidDel="00000000" w:rsidR="00000000" w:rsidRPr="00000000">
        <w:rPr>
          <w:rtl w:val="0"/>
        </w:rPr>
        <w:t xml:space="preserve">, Justice Benjamin Cardozo, subsequently an influential Associated Justice of the US Supreme Court wrote the following opinion in the New York Court of Appeals that:</w:t>
      </w:r>
    </w:p>
    <w:p w:rsidR="00000000" w:rsidDel="00000000" w:rsidP="00000000" w:rsidRDefault="00000000" w:rsidRPr="00000000" w14:paraId="0000010E">
      <w:pPr>
        <w:ind w:left="0" w:firstLine="0"/>
        <w:rPr/>
      </w:pPr>
      <w:r w:rsidDel="00000000" w:rsidR="00000000" w:rsidRPr="00000000">
        <w:rPr>
          <w:rtl w:val="0"/>
        </w:rPr>
      </w:r>
    </w:p>
    <w:p w:rsidR="00000000" w:rsidDel="00000000" w:rsidP="00000000" w:rsidRDefault="00000000" w:rsidRPr="00000000" w14:paraId="0000010F">
      <w:pPr>
        <w:ind w:left="0" w:firstLine="0"/>
        <w:rPr>
          <w:i w:val="1"/>
        </w:rPr>
      </w:pPr>
      <w:r w:rsidDel="00000000" w:rsidR="00000000" w:rsidRPr="00000000">
        <w:rPr>
          <w:i w:val="1"/>
          <w:rtl w:val="0"/>
        </w:rPr>
        <w:t xml:space="preserve">“Every human being of adult years and sound mind has a right to determine what shall be done with his own body; and a surgeon who performs an operation without his patient’s consent commits an assault for which he is liable in damages. This is true except in cases where the patient is unconscious and where it is necessary to operate before consent can be obtained.” </w:t>
      </w:r>
    </w:p>
    <w:p w:rsidR="00000000" w:rsidDel="00000000" w:rsidP="00000000" w:rsidRDefault="00000000" w:rsidRPr="00000000" w14:paraId="00000110">
      <w:pPr>
        <w:ind w:left="0" w:firstLine="0"/>
        <w:rPr>
          <w:i w:val="1"/>
        </w:rPr>
      </w:pPr>
      <w:r w:rsidDel="00000000" w:rsidR="00000000" w:rsidRPr="00000000">
        <w:rPr>
          <w:rtl w:val="0"/>
        </w:rPr>
      </w:r>
    </w:p>
    <w:p w:rsidR="00000000" w:rsidDel="00000000" w:rsidP="00000000" w:rsidRDefault="00000000" w:rsidRPr="00000000" w14:paraId="00000111">
      <w:pPr>
        <w:ind w:left="0" w:firstLine="0"/>
        <w:rPr/>
      </w:pPr>
      <w:r w:rsidDel="00000000" w:rsidR="00000000" w:rsidRPr="00000000">
        <w:rPr>
          <w:rtl w:val="0"/>
        </w:rPr>
        <w:t xml:space="preserve">In ReibL v. Hughes, [1980] 2 S.C.R. 880, the Canadian Supreme Court upheld a trial decision to award John Reibl civil damages in both battery and negligence from an operation that left him paralysed on the grounds of informed consent not being obtained.</w:t>
      </w:r>
      <w:r w:rsidDel="00000000" w:rsidR="00000000" w:rsidRPr="00000000">
        <w:rPr>
          <w:vertAlign w:val="superscript"/>
        </w:rPr>
        <w:footnoteReference w:customMarkFollows="0" w:id="58"/>
      </w:r>
      <w:r w:rsidDel="00000000" w:rsidR="00000000" w:rsidRPr="00000000">
        <w:rPr>
          <w:rtl w:val="0"/>
        </w:rPr>
      </w:r>
    </w:p>
    <w:p w:rsidR="00000000" w:rsidDel="00000000" w:rsidP="00000000" w:rsidRDefault="00000000" w:rsidRPr="00000000" w14:paraId="00000112">
      <w:pPr>
        <w:ind w:left="0" w:firstLine="0"/>
        <w:rPr/>
      </w:pPr>
      <w:r w:rsidDel="00000000" w:rsidR="00000000" w:rsidRPr="00000000">
        <w:rPr>
          <w:rtl w:val="0"/>
        </w:rPr>
      </w:r>
    </w:p>
    <w:p w:rsidR="00000000" w:rsidDel="00000000" w:rsidP="00000000" w:rsidRDefault="00000000" w:rsidRPr="00000000" w14:paraId="00000113">
      <w:pPr>
        <w:ind w:left="0" w:firstLine="0"/>
        <w:rPr/>
      </w:pPr>
      <w:r w:rsidDel="00000000" w:rsidR="00000000" w:rsidRPr="00000000">
        <w:rPr>
          <w:rtl w:val="0"/>
        </w:rPr>
        <w:t xml:space="preserve">In Rogers v Whitaker (1992) the High Court of Australia upheld a trial decision to award Christopher Rogers damages for negligence where eye surgery caused blindness without informed consent being obtained.</w:t>
      </w:r>
      <w:r w:rsidDel="00000000" w:rsidR="00000000" w:rsidRPr="00000000">
        <w:rPr>
          <w:vertAlign w:val="superscript"/>
        </w:rPr>
        <w:footnoteReference w:customMarkFollows="0" w:id="59"/>
      </w:r>
      <w:r w:rsidDel="00000000" w:rsidR="00000000" w:rsidRPr="00000000">
        <w:rPr>
          <w:rtl w:val="0"/>
        </w:rPr>
      </w:r>
    </w:p>
    <w:p w:rsidR="00000000" w:rsidDel="00000000" w:rsidP="00000000" w:rsidRDefault="00000000" w:rsidRPr="00000000" w14:paraId="00000114">
      <w:pPr>
        <w:ind w:left="0" w:firstLine="0"/>
        <w:rPr/>
      </w:pPr>
      <w:r w:rsidDel="00000000" w:rsidR="00000000" w:rsidRPr="00000000">
        <w:rPr>
          <w:rtl w:val="0"/>
        </w:rPr>
      </w:r>
    </w:p>
    <w:p w:rsidR="00000000" w:rsidDel="00000000" w:rsidP="00000000" w:rsidRDefault="00000000" w:rsidRPr="00000000" w14:paraId="00000115">
      <w:pPr>
        <w:ind w:left="0" w:firstLine="0"/>
        <w:rPr/>
      </w:pPr>
      <w:r w:rsidDel="00000000" w:rsidR="00000000" w:rsidRPr="00000000">
        <w:rPr>
          <w:rtl w:val="0"/>
        </w:rPr>
        <w:t xml:space="preserve">Similar rulings can be found from courts of record in all common law jurisdictions.</w:t>
      </w:r>
    </w:p>
    <w:p w:rsidR="00000000" w:rsidDel="00000000" w:rsidP="00000000" w:rsidRDefault="00000000" w:rsidRPr="00000000" w14:paraId="00000116">
      <w:pPr>
        <w:ind w:left="0" w:firstLine="0"/>
        <w:rPr/>
      </w:pPr>
      <w:r w:rsidDel="00000000" w:rsidR="00000000" w:rsidRPr="00000000">
        <w:rPr>
          <w:rtl w:val="0"/>
        </w:rPr>
      </w:r>
    </w:p>
    <w:p w:rsidR="00000000" w:rsidDel="00000000" w:rsidP="00000000" w:rsidRDefault="00000000" w:rsidRPr="00000000" w14:paraId="00000117">
      <w:pPr>
        <w:ind w:left="0" w:firstLine="0"/>
        <w:rPr/>
      </w:pPr>
      <w:r w:rsidDel="00000000" w:rsidR="00000000" w:rsidRPr="00000000">
        <w:rPr>
          <w:rtl w:val="0"/>
        </w:rPr>
        <w:t xml:space="preserve">Referencing Richardson v LCC (1957)</w:t>
      </w:r>
      <w:r w:rsidDel="00000000" w:rsidR="00000000" w:rsidRPr="00000000">
        <w:rPr>
          <w:vertAlign w:val="superscript"/>
        </w:rPr>
        <w:footnoteReference w:customMarkFollows="0" w:id="60"/>
      </w:r>
      <w:r w:rsidDel="00000000" w:rsidR="00000000" w:rsidRPr="00000000">
        <w:rPr>
          <w:rtl w:val="0"/>
        </w:rPr>
        <w:t xml:space="preserve"> In the Wilkinson case, Lady Justice Hale warned of negligent mistake of law as to the extent of the legal authority conferred by a Statute.</w:t>
      </w:r>
    </w:p>
    <w:p w:rsidR="00000000" w:rsidDel="00000000" w:rsidP="00000000" w:rsidRDefault="00000000" w:rsidRPr="00000000" w14:paraId="00000118">
      <w:pPr>
        <w:ind w:left="0" w:firstLine="0"/>
        <w:rPr/>
      </w:pPr>
      <w:r w:rsidDel="00000000" w:rsidR="00000000" w:rsidRPr="00000000">
        <w:rPr>
          <w:rtl w:val="0"/>
        </w:rPr>
      </w:r>
    </w:p>
    <w:p w:rsidR="00000000" w:rsidDel="00000000" w:rsidP="00000000" w:rsidRDefault="00000000" w:rsidRPr="00000000" w14:paraId="00000119">
      <w:pPr>
        <w:ind w:left="0" w:firstLine="0"/>
        <w:rPr/>
      </w:pPr>
      <w:r w:rsidDel="00000000" w:rsidR="00000000" w:rsidRPr="00000000">
        <w:rPr>
          <w:rtl w:val="0"/>
        </w:rPr>
        <w:t xml:space="preserve">It would therefore be a negligent mistake of law to consider the Regulations, emergency authorisation, or any other government guidance overrides statutory and common law rights to medical privacy and valid informed consent. A student, such as me, in an environment where I had to take out student loans to be here, is vulnerable to coercion out of economic necessity. An education facility should not interpret the Regulations in such a manner that breaches my long established common law right to withhold consent to any medical intervention. Withholding consent to a medical intervention cannot be penalised by a third party. You are attempting to penalise me by coercion.</w:t>
      </w:r>
    </w:p>
    <w:p w:rsidR="00000000" w:rsidDel="00000000" w:rsidP="00000000" w:rsidRDefault="00000000" w:rsidRPr="00000000" w14:paraId="0000011A">
      <w:pPr>
        <w:ind w:left="0" w:firstLine="0"/>
        <w:rPr/>
      </w:pPr>
      <w:r w:rsidDel="00000000" w:rsidR="00000000" w:rsidRPr="00000000">
        <w:rPr>
          <w:rtl w:val="0"/>
        </w:rPr>
      </w:r>
    </w:p>
    <w:p w:rsidR="00000000" w:rsidDel="00000000" w:rsidP="00000000" w:rsidRDefault="00000000" w:rsidRPr="00000000" w14:paraId="0000011B">
      <w:pPr>
        <w:ind w:left="0" w:firstLine="0"/>
        <w:rPr/>
      </w:pPr>
      <w:r w:rsidDel="00000000" w:rsidR="00000000" w:rsidRPr="00000000">
        <w:rPr>
          <w:rtl w:val="0"/>
        </w:rPr>
        <w:t xml:space="preserve">In this case the Regulations must be subservient to the enabling legislation,</w:t>
      </w:r>
      <w:r w:rsidDel="00000000" w:rsidR="00000000" w:rsidRPr="00000000">
        <w:rPr>
          <w:vertAlign w:val="superscript"/>
        </w:rPr>
        <w:footnoteReference w:customMarkFollows="0" w:id="61"/>
      </w:r>
      <w:r w:rsidDel="00000000" w:rsidR="00000000" w:rsidRPr="00000000">
        <w:rPr>
          <w:rtl w:val="0"/>
        </w:rPr>
        <w:t xml:space="preserve"> none of which expressly affected any of these fundamental and god-given rights and the “the executive (government) cannot change laws made by Acts of Parliament, nor the common law”.</w:t>
      </w:r>
      <w:r w:rsidDel="00000000" w:rsidR="00000000" w:rsidRPr="00000000">
        <w:rPr>
          <w:vertAlign w:val="superscript"/>
        </w:rPr>
        <w:footnoteReference w:customMarkFollows="0" w:id="62"/>
      </w:r>
      <w:r w:rsidDel="00000000" w:rsidR="00000000" w:rsidRPr="00000000">
        <w:rPr>
          <w:rtl w:val="0"/>
        </w:rPr>
      </w:r>
    </w:p>
    <w:p w:rsidR="00000000" w:rsidDel="00000000" w:rsidP="00000000" w:rsidRDefault="00000000" w:rsidRPr="00000000" w14:paraId="0000011C">
      <w:pPr>
        <w:ind w:left="0" w:firstLine="0"/>
        <w:rPr/>
      </w:pPr>
      <w:r w:rsidDel="00000000" w:rsidR="00000000" w:rsidRPr="00000000">
        <w:rPr>
          <w:rtl w:val="0"/>
        </w:rPr>
      </w:r>
    </w:p>
    <w:p w:rsidR="00000000" w:rsidDel="00000000" w:rsidP="00000000" w:rsidRDefault="00000000" w:rsidRPr="00000000" w14:paraId="0000011D">
      <w:pPr>
        <w:ind w:left="0" w:firstLine="0"/>
        <w:rPr>
          <w:i w:val="1"/>
        </w:rPr>
      </w:pPr>
      <w:r w:rsidDel="00000000" w:rsidR="00000000" w:rsidRPr="00000000">
        <w:rPr>
          <w:rtl w:val="0"/>
        </w:rPr>
        <w:t xml:space="preserve">Also, a liberty </w:t>
      </w:r>
      <w:r w:rsidDel="00000000" w:rsidR="00000000" w:rsidRPr="00000000">
        <w:rPr>
          <w:i w:val="1"/>
          <w:rtl w:val="0"/>
        </w:rPr>
        <w:t xml:space="preserve">“is only as real as the laws and by-laws, which negate or limit it. A right by contrast, can be asserted in the face of such restrictions and must be respected, subject to lawful and proper reservations, by the courts.”</w:t>
      </w:r>
      <w:r w:rsidDel="00000000" w:rsidR="00000000" w:rsidRPr="00000000">
        <w:rPr>
          <w:i w:val="1"/>
          <w:vertAlign w:val="superscript"/>
        </w:rPr>
        <w:footnoteReference w:customMarkFollows="0" w:id="63"/>
      </w:r>
      <w:r w:rsidDel="00000000" w:rsidR="00000000" w:rsidRPr="00000000">
        <w:rPr>
          <w:rtl w:val="0"/>
        </w:rPr>
      </w:r>
    </w:p>
    <w:p w:rsidR="00000000" w:rsidDel="00000000" w:rsidP="00000000" w:rsidRDefault="00000000" w:rsidRPr="00000000" w14:paraId="0000011E">
      <w:pPr>
        <w:ind w:left="0" w:firstLine="0"/>
        <w:rPr>
          <w:i w:val="1"/>
        </w:rPr>
      </w:pPr>
      <w:r w:rsidDel="00000000" w:rsidR="00000000" w:rsidRPr="00000000">
        <w:rPr>
          <w:rtl w:val="0"/>
        </w:rPr>
      </w:r>
    </w:p>
    <w:p w:rsidR="00000000" w:rsidDel="00000000" w:rsidP="00000000" w:rsidRDefault="00000000" w:rsidRPr="00000000" w14:paraId="0000011F">
      <w:pPr>
        <w:ind w:left="0" w:firstLine="0"/>
        <w:rPr/>
      </w:pPr>
      <w:r w:rsidDel="00000000" w:rsidR="00000000" w:rsidRPr="00000000">
        <w:rPr>
          <w:rtl w:val="0"/>
        </w:rPr>
        <w:t xml:space="preserve">A claimant also has a right to raise the illegality of a certain bye law as a defence in a magistrates’ court trial, where public law right is available as a defence.</w:t>
      </w:r>
      <w:r w:rsidDel="00000000" w:rsidR="00000000" w:rsidRPr="00000000">
        <w:rPr>
          <w:vertAlign w:val="superscript"/>
        </w:rPr>
        <w:footnoteReference w:customMarkFollows="0" w:id="64"/>
      </w:r>
      <w:r w:rsidDel="00000000" w:rsidR="00000000" w:rsidRPr="00000000">
        <w:rPr>
          <w:rtl w:val="0"/>
        </w:rPr>
      </w:r>
    </w:p>
    <w:p w:rsidR="00000000" w:rsidDel="00000000" w:rsidP="00000000" w:rsidRDefault="00000000" w:rsidRPr="00000000" w14:paraId="00000120">
      <w:pPr>
        <w:ind w:left="0" w:firstLine="0"/>
        <w:rPr/>
      </w:pPr>
      <w:r w:rsidDel="00000000" w:rsidR="00000000" w:rsidRPr="00000000">
        <w:rPr>
          <w:rtl w:val="0"/>
        </w:rPr>
      </w:r>
    </w:p>
    <w:p w:rsidR="00000000" w:rsidDel="00000000" w:rsidP="00000000" w:rsidRDefault="00000000" w:rsidRPr="00000000" w14:paraId="00000121">
      <w:pPr>
        <w:ind w:left="0" w:firstLine="0"/>
        <w:rPr/>
      </w:pPr>
      <w:r w:rsidDel="00000000" w:rsidR="00000000" w:rsidRPr="00000000">
        <w:rPr>
          <w:rtl w:val="0"/>
        </w:rPr>
        <w:t xml:space="preserve">There is no recent judicial innovation, in Kruse v Johnson [1898] 2 QB 91</w:t>
      </w:r>
      <w:r w:rsidDel="00000000" w:rsidR="00000000" w:rsidRPr="00000000">
        <w:rPr>
          <w:vertAlign w:val="superscript"/>
        </w:rPr>
        <w:footnoteReference w:customMarkFollows="0" w:id="65"/>
      </w:r>
      <w:r w:rsidDel="00000000" w:rsidR="00000000" w:rsidRPr="00000000">
        <w:rPr>
          <w:rtl w:val="0"/>
        </w:rPr>
        <w:t xml:space="preserve"> Lord Russell CJ stated that if a by-law:</w:t>
      </w:r>
    </w:p>
    <w:p w:rsidR="00000000" w:rsidDel="00000000" w:rsidP="00000000" w:rsidRDefault="00000000" w:rsidRPr="00000000" w14:paraId="00000122">
      <w:pPr>
        <w:ind w:left="0" w:firstLine="0"/>
        <w:rPr/>
      </w:pPr>
      <w:r w:rsidDel="00000000" w:rsidR="00000000" w:rsidRPr="00000000">
        <w:rPr>
          <w:rtl w:val="0"/>
        </w:rPr>
      </w:r>
    </w:p>
    <w:p w:rsidR="00000000" w:rsidDel="00000000" w:rsidP="00000000" w:rsidRDefault="00000000" w:rsidRPr="00000000" w14:paraId="00000123">
      <w:pPr>
        <w:ind w:left="0" w:firstLine="0"/>
        <w:rPr/>
      </w:pPr>
      <w:r w:rsidDel="00000000" w:rsidR="00000000" w:rsidRPr="00000000">
        <w:rPr>
          <w:i w:val="1"/>
          <w:rtl w:val="0"/>
        </w:rPr>
        <w:t xml:space="preserve">“Were manifestly unjust, if they disclosed bad faith, if they involved such oppressive or gratuitous interference with the rights of those subject to them as could find no justification in the minds of reasonable men, the court might well say Parliament never intended to give authority to make such rules; they are unreasonable and ultra vires.” </w:t>
      </w:r>
      <w:r w:rsidDel="00000000" w:rsidR="00000000" w:rsidRPr="00000000">
        <w:rPr>
          <w:rtl w:val="0"/>
        </w:rPr>
        <w:t xml:space="preserve">Also </w:t>
      </w:r>
      <w:r w:rsidDel="00000000" w:rsidR="00000000" w:rsidRPr="00000000">
        <w:rPr>
          <w:i w:val="1"/>
          <w:rtl w:val="0"/>
        </w:rPr>
        <w:t xml:space="preserve">Roman Law has the doctrine of Desuetude, English common law does not”</w:t>
      </w:r>
      <w:r w:rsidDel="00000000" w:rsidR="00000000" w:rsidRPr="00000000">
        <w:rPr>
          <w:i w:val="1"/>
          <w:vertAlign w:val="superscript"/>
        </w:rPr>
        <w:footnoteReference w:customMarkFollows="0" w:id="66"/>
      </w:r>
      <w:r w:rsidDel="00000000" w:rsidR="00000000" w:rsidRPr="00000000">
        <w:rPr>
          <w:i w:val="1"/>
          <w:rtl w:val="0"/>
        </w:rPr>
        <w:t xml:space="preserve">, </w:t>
      </w:r>
      <w:r w:rsidDel="00000000" w:rsidR="00000000" w:rsidRPr="00000000">
        <w:rPr>
          <w:rtl w:val="0"/>
        </w:rPr>
        <w:t xml:space="preserve">civil rights cannot therefore fall away out of disuse or passing of time and “we will not deny or defer to any man either Justice of Right.”</w:t>
      </w:r>
      <w:r w:rsidDel="00000000" w:rsidR="00000000" w:rsidRPr="00000000">
        <w:rPr>
          <w:vertAlign w:val="superscript"/>
        </w:rPr>
        <w:footnoteReference w:customMarkFollows="0" w:id="67"/>
      </w:r>
      <w:r w:rsidDel="00000000" w:rsidR="00000000" w:rsidRPr="00000000">
        <w:rPr>
          <w:rtl w:val="0"/>
        </w:rPr>
        <w:t xml:space="preserve"> For those reasons I require you to sign the enclosed undertaking.</w:t>
      </w:r>
    </w:p>
    <w:p w:rsidR="00000000" w:rsidDel="00000000" w:rsidP="00000000" w:rsidRDefault="00000000" w:rsidRPr="00000000" w14:paraId="00000124">
      <w:pPr>
        <w:ind w:left="0" w:firstLine="0"/>
        <w:rPr/>
      </w:pPr>
      <w:r w:rsidDel="00000000" w:rsidR="00000000" w:rsidRPr="00000000">
        <w:rPr>
          <w:rtl w:val="0"/>
        </w:rPr>
      </w:r>
    </w:p>
    <w:p w:rsidR="00000000" w:rsidDel="00000000" w:rsidP="00000000" w:rsidRDefault="00000000" w:rsidRPr="00000000" w14:paraId="00000125">
      <w:pPr>
        <w:ind w:left="0" w:firstLine="0"/>
        <w:rPr/>
      </w:pPr>
      <w:r w:rsidDel="00000000" w:rsidR="00000000" w:rsidRPr="00000000">
        <w:rPr>
          <w:rtl w:val="0"/>
        </w:rPr>
      </w:r>
    </w:p>
    <w:p w:rsidR="00000000" w:rsidDel="00000000" w:rsidP="00000000" w:rsidRDefault="00000000" w:rsidRPr="00000000" w14:paraId="00000126">
      <w:pPr>
        <w:ind w:left="0" w:firstLine="0"/>
        <w:rPr/>
      </w:pPr>
      <w:r w:rsidDel="00000000" w:rsidR="00000000" w:rsidRPr="00000000">
        <w:rPr>
          <w:rtl w:val="0"/>
        </w:rPr>
        <w:t xml:space="preserve">Signed</w:t>
      </w:r>
    </w:p>
    <w:p w:rsidR="00000000" w:rsidDel="00000000" w:rsidP="00000000" w:rsidRDefault="00000000" w:rsidRPr="00000000" w14:paraId="00000127">
      <w:pPr>
        <w:ind w:left="0" w:firstLine="0"/>
        <w:rPr/>
      </w:pPr>
      <w:r w:rsidDel="00000000" w:rsidR="00000000" w:rsidRPr="00000000">
        <w:rPr>
          <w:rtl w:val="0"/>
        </w:rPr>
        <w:t xml:space="preserv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35">
    <w:p w:rsidR="00000000" w:rsidDel="00000000" w:rsidP="00000000" w:rsidRDefault="00000000" w:rsidRPr="00000000" w14:paraId="000001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https://www.legislation.gov.uk/ukpga/1984/22/part/2A</w:t>
      </w:r>
    </w:p>
  </w:footnote>
  <w:footnote w:id="36">
    <w:p w:rsidR="00000000" w:rsidDel="00000000" w:rsidP="00000000" w:rsidRDefault="00000000" w:rsidRPr="00000000" w14:paraId="0000012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https://www.legislation.gov.uk/ukpga/1984/22/section/45E</w:t>
      </w:r>
    </w:p>
  </w:footnote>
  <w:footnote w:id="0">
    <w:p w:rsidR="00000000" w:rsidDel="00000000" w:rsidP="00000000" w:rsidRDefault="00000000" w:rsidRPr="00000000" w14:paraId="0000012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https://www.justice.gov.uk/courts/procedure-rules/civil/rules/pd_pre-action_conduct</w:t>
      </w:r>
    </w:p>
  </w:footnote>
  <w:footnote w:id="1">
    <w:p w:rsidR="00000000" w:rsidDel="00000000" w:rsidP="00000000" w:rsidRDefault="00000000" w:rsidRPr="00000000" w14:paraId="000001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https://www.legislation.gov.uk/uksi/2021/891/regulation/5/made</w:t>
      </w:r>
    </w:p>
  </w:footnote>
  <w:footnote w:id="3">
    <w:p w:rsidR="00000000" w:rsidDel="00000000" w:rsidP="00000000" w:rsidRDefault="00000000" w:rsidRPr="00000000" w14:paraId="0000012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https://www.legislation.gov.uk/ukpga/2010/23/contents</w:t>
      </w:r>
    </w:p>
  </w:footnote>
  <w:footnote w:id="4">
    <w:p w:rsidR="00000000" w:rsidDel="00000000" w:rsidP="00000000" w:rsidRDefault="00000000" w:rsidRPr="00000000" w14:paraId="000001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https://www.gmc-uk.org/registration-and-licensing/join-the-register/plab/plab-2-guide/anti-bribery-policy</w:t>
      </w:r>
    </w:p>
  </w:footnote>
  <w:footnote w:id="5">
    <w:p w:rsidR="00000000" w:rsidDel="00000000" w:rsidP="00000000" w:rsidRDefault="00000000" w:rsidRPr="00000000" w14:paraId="0000012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https://www.legislation.gov.uk/ukpga/1968/60/section/21</w:t>
      </w:r>
    </w:p>
  </w:footnote>
  <w:footnote w:id="6">
    <w:p w:rsidR="00000000" w:rsidDel="00000000" w:rsidP="00000000" w:rsidRDefault="00000000" w:rsidRPr="00000000" w14:paraId="0000012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https://www.legislation.gov.uk/ukpga/1968/60/section/21</w:t>
      </w:r>
    </w:p>
  </w:footnote>
  <w:footnote w:id="7">
    <w:p w:rsidR="00000000" w:rsidDel="00000000" w:rsidP="00000000" w:rsidRDefault="00000000" w:rsidRPr="00000000" w14:paraId="0000013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https://www.legislation.gov.uk/ukdsi/2014/9780111117613/regulation/12</w:t>
      </w:r>
    </w:p>
  </w:footnote>
  <w:footnote w:id="8">
    <w:p w:rsidR="00000000" w:rsidDel="00000000" w:rsidP="00000000" w:rsidRDefault="00000000" w:rsidRPr="00000000" w14:paraId="0000013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https://www.legislation.gov.uk/uksi/2021/891/regulation/5/made</w:t>
      </w:r>
    </w:p>
  </w:footnote>
  <w:footnote w:id="9">
    <w:p w:rsidR="00000000" w:rsidDel="00000000" w:rsidP="00000000" w:rsidRDefault="00000000" w:rsidRPr="00000000" w14:paraId="0000013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https://www.legislation.gov.uk/uksi/2014/2936/regulation/22</w:t>
      </w:r>
    </w:p>
  </w:footnote>
  <w:footnote w:id="10">
    <w:p w:rsidR="00000000" w:rsidDel="00000000" w:rsidP="00000000" w:rsidRDefault="00000000" w:rsidRPr="00000000" w14:paraId="0000013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https://www.legislation.gov.uk/ukpga/1974/37/part/I/crossheading/provisions-as-to-offences</w:t>
      </w:r>
    </w:p>
  </w:footnote>
  <w:footnote w:id="11">
    <w:p w:rsidR="00000000" w:rsidDel="00000000" w:rsidP="00000000" w:rsidRDefault="00000000" w:rsidRPr="00000000" w14:paraId="0000013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https://www.legislation.gov.uk/uksi/2014/2936/regulation/2</w:t>
      </w:r>
    </w:p>
  </w:footnote>
  <w:footnote w:id="12">
    <w:p w:rsidR="00000000" w:rsidDel="00000000" w:rsidP="00000000" w:rsidRDefault="00000000" w:rsidRPr="00000000" w14:paraId="0000013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https://www.legislation.gov.uk/ukpga/1988/28/contents</w:t>
      </w:r>
    </w:p>
  </w:footnote>
  <w:footnote w:id="13">
    <w:p w:rsidR="00000000" w:rsidDel="00000000" w:rsidP="00000000" w:rsidRDefault="00000000" w:rsidRPr="00000000" w14:paraId="0000013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https://www.legislation.gov.uk/ukpga/2018/12/part/6/crossheading/offences-relating-to-personal-data/enacted</w:t>
      </w:r>
    </w:p>
  </w:footnote>
  <w:footnote w:id="14">
    <w:p w:rsidR="00000000" w:rsidDel="00000000" w:rsidP="00000000" w:rsidRDefault="00000000" w:rsidRPr="00000000" w14:paraId="0000013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https://www.bailii.org/eu/cases/ECHR/1997/10.html</w:t>
      </w:r>
    </w:p>
  </w:footnote>
  <w:footnote w:id="15">
    <w:p w:rsidR="00000000" w:rsidDel="00000000" w:rsidP="00000000" w:rsidRDefault="00000000" w:rsidRPr="00000000" w14:paraId="0000013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https://www.bailii.org/ew/cases/EWHC/Admin/2021/658.html</w:t>
      </w:r>
    </w:p>
  </w:footnote>
  <w:footnote w:id="16">
    <w:p w:rsidR="00000000" w:rsidDel="00000000" w:rsidP="00000000" w:rsidRDefault="00000000" w:rsidRPr="00000000" w14:paraId="0000013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http://www.hrcr.org/safrica/arrested_rights/Rice_Connolly.htm</w:t>
      </w:r>
    </w:p>
  </w:footnote>
  <w:footnote w:id="17">
    <w:p w:rsidR="00000000" w:rsidDel="00000000" w:rsidP="00000000" w:rsidRDefault="00000000" w:rsidRPr="00000000" w14:paraId="0000013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https://swarb.co.uk/hogg-v-dover-college-eat-1990/</w:t>
      </w:r>
    </w:p>
  </w:footnote>
  <w:footnote w:id="18">
    <w:p w:rsidR="00000000" w:rsidDel="00000000" w:rsidP="00000000" w:rsidRDefault="00000000" w:rsidRPr="00000000" w14:paraId="0000013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https://www.bailii.org/ew/cases/EWCA/Civ/2020/258.html</w:t>
      </w:r>
    </w:p>
  </w:footnote>
  <w:footnote w:id="19">
    <w:p w:rsidR="00000000" w:rsidDel="00000000" w:rsidP="00000000" w:rsidRDefault="00000000" w:rsidRPr="00000000" w14:paraId="000001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https://www.gov.uk/guidance/nhs-covid-pass</w:t>
      </w:r>
    </w:p>
  </w:footnote>
  <w:footnote w:id="20">
    <w:p w:rsidR="00000000" w:rsidDel="00000000" w:rsidP="00000000" w:rsidRDefault="00000000" w:rsidRPr="00000000" w14:paraId="000001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https://www.nhsx.nhs.uk/covid-19-response/using-the-nhs-covid-pass/</w:t>
      </w:r>
    </w:p>
  </w:footnote>
  <w:footnote w:id="21">
    <w:p w:rsidR="00000000" w:rsidDel="00000000" w:rsidP="00000000" w:rsidRDefault="00000000" w:rsidRPr="00000000" w14:paraId="000001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https://www.gov.uk/government/publications/reference-guide-to-consent-for-examination-or-treatment-second-edition</w:t>
      </w:r>
    </w:p>
  </w:footnote>
  <w:footnote w:id="22">
    <w:p w:rsidR="00000000" w:rsidDel="00000000" w:rsidP="00000000" w:rsidRDefault="00000000" w:rsidRPr="00000000" w14:paraId="000001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https://www.nhs.uk/conditions/consent-to-treatment/</w:t>
      </w:r>
    </w:p>
  </w:footnote>
  <w:footnote w:id="23">
    <w:p w:rsidR="00000000" w:rsidDel="00000000" w:rsidP="00000000" w:rsidRDefault="00000000" w:rsidRPr="00000000" w14:paraId="0000014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https://www.gov.uk/government/publications/consent-the-green-book-chapter-2</w:t>
      </w:r>
    </w:p>
  </w:footnote>
  <w:footnote w:id="24">
    <w:p w:rsidR="00000000" w:rsidDel="00000000" w:rsidP="00000000" w:rsidRDefault="00000000" w:rsidRPr="00000000" w14:paraId="000001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https://www.bailii.org/ew/cases/EWCA/Civ/1982/1.html</w:t>
      </w:r>
    </w:p>
  </w:footnote>
  <w:footnote w:id="25">
    <w:p w:rsidR="00000000" w:rsidDel="00000000" w:rsidP="00000000" w:rsidRDefault="00000000" w:rsidRPr="00000000" w14:paraId="000001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https://www.supremecourt.uk/cases/docs/uksc-2013-0136-judgment.pdf</w:t>
      </w:r>
    </w:p>
  </w:footnote>
  <w:footnote w:id="26">
    <w:p w:rsidR="00000000" w:rsidDel="00000000" w:rsidP="00000000" w:rsidRDefault="00000000" w:rsidRPr="00000000" w14:paraId="000001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https://www.wma.net/policies-post/wma-declaration-of-helsinki-ethical-principles-for-medical-research-involving-human-subjects/</w:t>
      </w:r>
    </w:p>
  </w:footnote>
  <w:footnote w:id="27">
    <w:p w:rsidR="00000000" w:rsidDel="00000000" w:rsidP="00000000" w:rsidRDefault="00000000" w:rsidRPr="00000000" w14:paraId="000001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“Declaration of Helsinki” means the Declaration of Helsinki adopted by the World Medical Assembly in June 1964, as amended by the General Assembly of the Association in October 1975, October 1983, September 1989 and October 1996</w:t>
      </w:r>
    </w:p>
  </w:footnote>
  <w:footnote w:id="28">
    <w:p w:rsidR="00000000" w:rsidDel="00000000" w:rsidP="00000000" w:rsidRDefault="00000000" w:rsidRPr="00000000" w14:paraId="000001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https://ec.europa.eu/health/sites/default/files/files/eudralex/vol-1/dir_2001_20/dir_2001_20_en.pdf</w:t>
      </w:r>
    </w:p>
  </w:footnote>
  <w:footnote w:id="29">
    <w:p w:rsidR="00000000" w:rsidDel="00000000" w:rsidP="00000000" w:rsidRDefault="00000000" w:rsidRPr="00000000" w14:paraId="0000014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https://eur-lex.europa.eu/LexUriServ/LexUriServ.do?uri=OJ:L:2005:091:0013:0019:en:PDF</w:t>
      </w:r>
    </w:p>
  </w:footnote>
  <w:footnote w:id="30">
    <w:p w:rsidR="00000000" w:rsidDel="00000000" w:rsidP="00000000" w:rsidRDefault="00000000" w:rsidRPr="00000000" w14:paraId="0000014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https://swarb.co.uk/bolam-v-friern-hospital-management-committee-qbd-1957/</w:t>
      </w:r>
    </w:p>
  </w:footnote>
  <w:footnote w:id="31">
    <w:p w:rsidR="00000000" w:rsidDel="00000000" w:rsidP="00000000" w:rsidRDefault="00000000" w:rsidRPr="00000000" w14:paraId="000001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https://pace.coe.int/en/files/29004/html</w:t>
      </w:r>
    </w:p>
  </w:footnote>
  <w:footnote w:id="32">
    <w:p w:rsidR="00000000" w:rsidDel="00000000" w:rsidP="00000000" w:rsidRDefault="00000000" w:rsidRPr="00000000" w14:paraId="0000014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https://www.legislation.gov.uk/ukpga/1998/42/section/6</w:t>
      </w:r>
    </w:p>
  </w:footnote>
  <w:footnote w:id="33">
    <w:p w:rsidR="00000000" w:rsidDel="00000000" w:rsidP="00000000" w:rsidRDefault="00000000" w:rsidRPr="00000000" w14:paraId="0000014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https://www.legislation.gov.uk/ukpga/1998/42/schedule/3</w:t>
      </w:r>
    </w:p>
  </w:footnote>
  <w:footnote w:id="34">
    <w:p w:rsidR="00000000" w:rsidDel="00000000" w:rsidP="00000000" w:rsidRDefault="00000000" w:rsidRPr="00000000" w14:paraId="0000014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https://www.legislation.gov.uk/ukpga/2008/14/section/161</w:t>
      </w:r>
    </w:p>
  </w:footnote>
  <w:footnote w:id="37">
    <w:p w:rsidR="00000000" w:rsidDel="00000000" w:rsidP="00000000" w:rsidRDefault="00000000" w:rsidRPr="00000000" w14:paraId="0000014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https://www.bailii.org/ew/cases/EWCA/Civ/1947/1.html</w:t>
      </w:r>
    </w:p>
  </w:footnote>
  <w:footnote w:id="38">
    <w:p w:rsidR="00000000" w:rsidDel="00000000" w:rsidP="00000000" w:rsidRDefault="00000000" w:rsidRPr="00000000" w14:paraId="0000014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Short v. Poole Corporation [1926] Ch 66, 90, 91</w:t>
      </w:r>
    </w:p>
  </w:footnote>
  <w:footnote w:id="39">
    <w:p w:rsidR="00000000" w:rsidDel="00000000" w:rsidP="00000000" w:rsidRDefault="00000000" w:rsidRPr="00000000" w14:paraId="0000014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https://www.bailii.org/uk/cases/UKHL/1986/3.html</w:t>
      </w:r>
    </w:p>
  </w:footnote>
  <w:footnote w:id="40">
    <w:p w:rsidR="00000000" w:rsidDel="00000000" w:rsidP="00000000" w:rsidRDefault="00000000" w:rsidRPr="00000000" w14:paraId="0000014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https://www.bailii.org/uk/cases/UKHL/1991/4.html</w:t>
      </w:r>
    </w:p>
  </w:footnote>
  <w:footnote w:id="41">
    <w:p w:rsidR="00000000" w:rsidDel="00000000" w:rsidP="00000000" w:rsidRDefault="00000000" w:rsidRPr="00000000" w14:paraId="0000015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https://www.bailii.org/ew/cases/EWCA/Civ/1995/22.html</w:t>
      </w:r>
    </w:p>
  </w:footnote>
  <w:footnote w:id="42">
    <w:p w:rsidR="00000000" w:rsidDel="00000000" w:rsidP="00000000" w:rsidRDefault="00000000" w:rsidRPr="00000000" w14:paraId="0000015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https://www.gov.uk/government/collections/immunisation-against-infectious-disease-the-green-book</w:t>
      </w:r>
    </w:p>
  </w:footnote>
  <w:footnote w:id="43">
    <w:p w:rsidR="00000000" w:rsidDel="00000000" w:rsidP="00000000" w:rsidRDefault="00000000" w:rsidRPr="00000000" w14:paraId="0000015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https://www.gov.uk/government/publications/coronavirus-covid-19-vaccine-adverse-reactions</w:t>
      </w:r>
    </w:p>
  </w:footnote>
  <w:footnote w:id="44">
    <w:p w:rsidR="00000000" w:rsidDel="00000000" w:rsidP="00000000" w:rsidRDefault="00000000" w:rsidRPr="00000000" w14:paraId="0000015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https://www.gov.uk/government/publications/excess-weight-and-covid-19-insights-from-new-evidence</w:t>
      </w:r>
    </w:p>
  </w:footnote>
  <w:footnote w:id="45">
    <w:p w:rsidR="00000000" w:rsidDel="00000000" w:rsidP="00000000" w:rsidRDefault="00000000" w:rsidRPr="00000000" w14:paraId="0000015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https://www.gov.uk/government/publications/vitamin-d-for-vulnerable-groups/vitamin-d-and-clinically-extremely-vulnerable-cev-guidance</w:t>
      </w:r>
    </w:p>
  </w:footnote>
  <w:footnote w:id="46">
    <w:p w:rsidR="00000000" w:rsidDel="00000000" w:rsidP="00000000" w:rsidRDefault="00000000" w:rsidRPr="00000000" w14:paraId="0000015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https://assets.publishing.service.gov.uk/government/uploads/system/uploads/attachment_data/file/1016465/Vaccine_surveillance_report_-_week_36.pdf</w:t>
      </w:r>
    </w:p>
  </w:footnote>
  <w:footnote w:id="47">
    <w:p w:rsidR="00000000" w:rsidDel="00000000" w:rsidP="00000000" w:rsidRDefault="00000000" w:rsidRPr="00000000" w14:paraId="0000015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https://www.gov.uk/guidance/high-consequence-infectious-diseases-hcid#status-of-covid-19</w:t>
      </w:r>
    </w:p>
  </w:footnote>
  <w:footnote w:id="48">
    <w:p w:rsidR="00000000" w:rsidDel="00000000" w:rsidP="00000000" w:rsidRDefault="00000000" w:rsidRPr="00000000" w14:paraId="0000015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https://www.gov.uk/government/groups/advisory-committee-on-dangerous-pathogens</w:t>
      </w:r>
    </w:p>
  </w:footnote>
  <w:footnote w:id="49">
    <w:p w:rsidR="00000000" w:rsidDel="00000000" w:rsidP="00000000" w:rsidRDefault="00000000" w:rsidRPr="00000000" w14:paraId="0000015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https://www.whatdotheyknow.com/request/677059/response/1616791/attach/html/5/ACDP%20COVID%2019%20M02.pdf.html</w:t>
      </w:r>
    </w:p>
  </w:footnote>
  <w:footnote w:id="50">
    <w:p w:rsidR="00000000" w:rsidDel="00000000" w:rsidP="00000000" w:rsidRDefault="00000000" w:rsidRPr="00000000" w14:paraId="0000015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https://www.bailii.org/ew/cases/EWCA/Civ/2001/1545.html</w:t>
      </w:r>
    </w:p>
  </w:footnote>
  <w:footnote w:id="51">
    <w:p w:rsidR="00000000" w:rsidDel="00000000" w:rsidP="00000000" w:rsidRDefault="00000000" w:rsidRPr="00000000" w14:paraId="0000015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https://www.bailii.org/uk/cases/UKHL/1993/17.html</w:t>
      </w:r>
    </w:p>
  </w:footnote>
  <w:footnote w:id="52">
    <w:p w:rsidR="00000000" w:rsidDel="00000000" w:rsidP="00000000" w:rsidRDefault="00000000" w:rsidRPr="00000000" w14:paraId="0000015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https://www.bailii.org/uk/cases/UKHL/1991/1.html</w:t>
      </w:r>
    </w:p>
  </w:footnote>
  <w:footnote w:id="53">
    <w:p w:rsidR="00000000" w:rsidDel="00000000" w:rsidP="00000000" w:rsidRDefault="00000000" w:rsidRPr="00000000" w14:paraId="0000015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https://bailii.org/uk/cases/UKHL/1985/1.html</w:t>
      </w:r>
    </w:p>
  </w:footnote>
  <w:footnote w:id="54">
    <w:p w:rsidR="00000000" w:rsidDel="00000000" w:rsidP="00000000" w:rsidRDefault="00000000" w:rsidRPr="00000000" w14:paraId="0000015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https://www.bailii.org/ew/cases/EWCOP/2021/31.html</w:t>
      </w:r>
    </w:p>
  </w:footnote>
  <w:footnote w:id="55">
    <w:p w:rsidR="00000000" w:rsidDel="00000000" w:rsidP="00000000" w:rsidRDefault="00000000" w:rsidRPr="00000000" w14:paraId="0000015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https://www.bailii.org/uk/cases/UKHL/2004/41.html</w:t>
      </w:r>
    </w:p>
  </w:footnote>
  <w:footnote w:id="56">
    <w:p w:rsidR="00000000" w:rsidDel="00000000" w:rsidP="00000000" w:rsidRDefault="00000000" w:rsidRPr="00000000" w14:paraId="0000015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https://en.wikipedia.org/wiki/Law_of_%C3%86thelberht</w:t>
      </w:r>
    </w:p>
  </w:footnote>
  <w:footnote w:id="57">
    <w:p w:rsidR="00000000" w:rsidDel="00000000" w:rsidP="00000000" w:rsidRDefault="00000000" w:rsidRPr="00000000" w14:paraId="0000016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https://biotech.law.lsu.edu/cases/consent/schoendorff.htm</w:t>
      </w:r>
    </w:p>
  </w:footnote>
  <w:footnote w:id="58">
    <w:p w:rsidR="00000000" w:rsidDel="00000000" w:rsidP="00000000" w:rsidRDefault="00000000" w:rsidRPr="00000000" w14:paraId="0000016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https://scc-csc.lexum.com/scc-csc/scc-csc/en/item/2563/index.do</w:t>
      </w:r>
    </w:p>
  </w:footnote>
  <w:footnote w:id="59">
    <w:p w:rsidR="00000000" w:rsidDel="00000000" w:rsidP="00000000" w:rsidRDefault="00000000" w:rsidRPr="00000000" w14:paraId="0000016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http://www.paci.com.au/downloads_public/court/12_Rogers_v_Whitaker.pdf</w:t>
      </w:r>
    </w:p>
  </w:footnote>
  <w:footnote w:id="60">
    <w:p w:rsidR="00000000" w:rsidDel="00000000" w:rsidP="00000000" w:rsidRDefault="00000000" w:rsidRPr="00000000" w14:paraId="0000016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Richardson v London County Council [1957] 1 WLR 751</w:t>
      </w:r>
    </w:p>
  </w:footnote>
  <w:footnote w:id="61">
    <w:p w:rsidR="00000000" w:rsidDel="00000000" w:rsidP="00000000" w:rsidRDefault="00000000" w:rsidRPr="00000000" w14:paraId="0000016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https://www.legislation.gov.uk/ukpga/Geo6/9-10/36/section/1</w:t>
      </w:r>
    </w:p>
  </w:footnote>
  <w:footnote w:id="62">
    <w:p w:rsidR="00000000" w:rsidDel="00000000" w:rsidP="00000000" w:rsidRDefault="00000000" w:rsidRPr="00000000" w14:paraId="0000016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https://www.supremecourt.uk/cases/docs/uksc-2016-0196-judgment.pdf</w:t>
      </w:r>
    </w:p>
  </w:footnote>
  <w:footnote w:id="63">
    <w:p w:rsidR="00000000" w:rsidDel="00000000" w:rsidP="00000000" w:rsidRDefault="00000000" w:rsidRPr="00000000" w14:paraId="0000016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https://www.bailii.org/ew/cases/EWHC/Admin/1999/733.html</w:t>
      </w:r>
    </w:p>
  </w:footnote>
  <w:footnote w:id="64">
    <w:p w:rsidR="00000000" w:rsidDel="00000000" w:rsidP="00000000" w:rsidRDefault="00000000" w:rsidRPr="00000000" w14:paraId="0000016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https://www.bailii.org/uk/cases/UKHL/1998/13.html</w:t>
      </w:r>
    </w:p>
  </w:footnote>
  <w:footnote w:id="65">
    <w:p w:rsidR="00000000" w:rsidDel="00000000" w:rsidP="00000000" w:rsidRDefault="00000000" w:rsidRPr="00000000" w14:paraId="0000016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https://learninglink.oup.com/static/5c0e79ef50eddf00160f35ad/casebook_80.htm</w:t>
      </w:r>
    </w:p>
  </w:footnote>
  <w:footnote w:id="66">
    <w:p w:rsidR="00000000" w:rsidDel="00000000" w:rsidP="00000000" w:rsidRDefault="00000000" w:rsidRPr="00000000" w14:paraId="0000016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http://www.commonlii.org/uk/cases/EngR/1818/3.pdf</w:t>
      </w:r>
    </w:p>
  </w:footnote>
  <w:footnote w:id="67">
    <w:p w:rsidR="00000000" w:rsidDel="00000000" w:rsidP="00000000" w:rsidRDefault="00000000" w:rsidRPr="00000000" w14:paraId="0000016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https://www.legislation.gov.uk/aep/Edw1cc1929/25/9/section/XXIX</w:t>
      </w:r>
    </w:p>
  </w:footnote>
  <w:footnote w:id="2">
    <w:p w:rsidR="00000000" w:rsidDel="00000000" w:rsidP="00000000" w:rsidRDefault="00000000" w:rsidRPr="00000000" w14:paraId="0000016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https://www.hse.gov.uk/legislation/hswa.htm</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